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D9" w:rsidRDefault="00C569D9" w:rsidP="00823BDF">
      <w:pPr>
        <w:autoSpaceDE w:val="0"/>
        <w:autoSpaceDN w:val="0"/>
        <w:adjustRightInd w:val="0"/>
        <w:rPr>
          <w:sz w:val="28"/>
          <w:szCs w:val="28"/>
        </w:rPr>
      </w:pPr>
    </w:p>
    <w:p w:rsidR="00C569D9" w:rsidRPr="00380F60" w:rsidRDefault="00C569D9" w:rsidP="00C569D9">
      <w:pPr>
        <w:autoSpaceDE w:val="0"/>
        <w:autoSpaceDN w:val="0"/>
        <w:adjustRightInd w:val="0"/>
        <w:jc w:val="right"/>
      </w:pPr>
      <w:r w:rsidRPr="00380F60">
        <w:t xml:space="preserve">Приложение </w:t>
      </w:r>
    </w:p>
    <w:p w:rsidR="00C569D9" w:rsidRPr="00380F60" w:rsidRDefault="00C569D9" w:rsidP="00C569D9">
      <w:pPr>
        <w:autoSpaceDE w:val="0"/>
        <w:autoSpaceDN w:val="0"/>
        <w:adjustRightInd w:val="0"/>
        <w:jc w:val="center"/>
      </w:pPr>
    </w:p>
    <w:p w:rsidR="00C569D9" w:rsidRPr="00641AAE" w:rsidRDefault="00C569D9" w:rsidP="00C569D9">
      <w:pPr>
        <w:autoSpaceDE w:val="0"/>
        <w:autoSpaceDN w:val="0"/>
        <w:adjustRightInd w:val="0"/>
        <w:jc w:val="center"/>
        <w:rPr>
          <w:b/>
        </w:rPr>
      </w:pPr>
      <w:r w:rsidRPr="00641AAE">
        <w:rPr>
          <w:b/>
        </w:rPr>
        <w:t xml:space="preserve">Предварительные итоги социально-экономического развития </w:t>
      </w:r>
    </w:p>
    <w:p w:rsidR="00C569D9" w:rsidRPr="00641AAE" w:rsidRDefault="00026E98" w:rsidP="00C569D9">
      <w:pPr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Пижанского</w:t>
      </w:r>
      <w:proofErr w:type="spellEnd"/>
      <w:r>
        <w:rPr>
          <w:b/>
        </w:rPr>
        <w:t xml:space="preserve"> муниципального округа</w:t>
      </w:r>
      <w:r w:rsidR="00C569D9" w:rsidRPr="00641AAE">
        <w:rPr>
          <w:b/>
        </w:rPr>
        <w:t xml:space="preserve"> за истекший период текущего финансового года и ожидаемые итоги социально-экономиче</w:t>
      </w:r>
      <w:r>
        <w:rPr>
          <w:b/>
        </w:rPr>
        <w:t xml:space="preserve">ского развития </w:t>
      </w:r>
      <w:proofErr w:type="spellStart"/>
      <w:r>
        <w:rPr>
          <w:b/>
        </w:rPr>
        <w:t>Пижанского</w:t>
      </w:r>
      <w:proofErr w:type="spellEnd"/>
      <w:r>
        <w:rPr>
          <w:b/>
        </w:rPr>
        <w:t xml:space="preserve"> муниципального округа </w:t>
      </w:r>
      <w:r w:rsidR="00C569D9" w:rsidRPr="00641AAE">
        <w:rPr>
          <w:b/>
        </w:rPr>
        <w:t>за текущий финансовый год</w:t>
      </w:r>
    </w:p>
    <w:p w:rsidR="007B5CF0" w:rsidRPr="00641AAE" w:rsidRDefault="007B5CF0" w:rsidP="00C569D9">
      <w:pPr>
        <w:autoSpaceDE w:val="0"/>
        <w:autoSpaceDN w:val="0"/>
        <w:adjustRightInd w:val="0"/>
        <w:jc w:val="center"/>
      </w:pPr>
    </w:p>
    <w:p w:rsidR="002F3BB4" w:rsidRPr="00B45B86" w:rsidRDefault="00D45064" w:rsidP="00F71C7D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B45B86">
        <w:rPr>
          <w:rFonts w:ascii="Times New Roman" w:hAnsi="Times New Roman"/>
        </w:rPr>
        <w:t xml:space="preserve">Численность населения </w:t>
      </w:r>
      <w:proofErr w:type="spellStart"/>
      <w:r w:rsidR="000E58E5" w:rsidRPr="00B45B86">
        <w:rPr>
          <w:rFonts w:ascii="Times New Roman" w:hAnsi="Times New Roman"/>
        </w:rPr>
        <w:t>Пижанского</w:t>
      </w:r>
      <w:proofErr w:type="spellEnd"/>
      <w:r w:rsidR="000E58E5" w:rsidRPr="00B45B86">
        <w:rPr>
          <w:rFonts w:ascii="Times New Roman" w:hAnsi="Times New Roman"/>
        </w:rPr>
        <w:t xml:space="preserve"> муниципального округа</w:t>
      </w:r>
      <w:r w:rsidR="00EC4E89" w:rsidRPr="00B45B86">
        <w:rPr>
          <w:rFonts w:ascii="Times New Roman" w:hAnsi="Times New Roman"/>
        </w:rPr>
        <w:t xml:space="preserve"> </w:t>
      </w:r>
      <w:proofErr w:type="gramStart"/>
      <w:r w:rsidR="00EC4E89" w:rsidRPr="00B45B86">
        <w:rPr>
          <w:rFonts w:ascii="Times New Roman" w:hAnsi="Times New Roman"/>
        </w:rPr>
        <w:t>составила</w:t>
      </w:r>
      <w:r w:rsidR="00EC3054" w:rsidRPr="00B45B86">
        <w:rPr>
          <w:color w:val="000000"/>
          <w:spacing w:val="-3"/>
          <w:sz w:val="28"/>
          <w:szCs w:val="25"/>
        </w:rPr>
        <w:t xml:space="preserve"> </w:t>
      </w:r>
      <w:r w:rsidR="00EC3054" w:rsidRPr="00B45B86">
        <w:rPr>
          <w:rFonts w:ascii="Times New Roman" w:hAnsi="Times New Roman"/>
          <w:color w:val="000000"/>
          <w:spacing w:val="-3"/>
        </w:rPr>
        <w:t>на 1 января 2023 года составила</w:t>
      </w:r>
      <w:proofErr w:type="gramEnd"/>
      <w:r w:rsidR="00EC3054" w:rsidRPr="00B45B86">
        <w:rPr>
          <w:rFonts w:ascii="Times New Roman" w:hAnsi="Times New Roman"/>
          <w:color w:val="000000"/>
          <w:spacing w:val="-3"/>
        </w:rPr>
        <w:t xml:space="preserve"> п</w:t>
      </w:r>
      <w:r w:rsidR="00E97BB2">
        <w:rPr>
          <w:rFonts w:ascii="Times New Roman" w:hAnsi="Times New Roman"/>
          <w:color w:val="000000"/>
          <w:spacing w:val="-3"/>
        </w:rPr>
        <w:t xml:space="preserve">о данным </w:t>
      </w:r>
      <w:proofErr w:type="spellStart"/>
      <w:r w:rsidR="00E97BB2">
        <w:rPr>
          <w:rFonts w:ascii="Times New Roman" w:hAnsi="Times New Roman"/>
          <w:color w:val="000000"/>
          <w:spacing w:val="-3"/>
        </w:rPr>
        <w:t>Кировстата</w:t>
      </w:r>
      <w:proofErr w:type="spellEnd"/>
      <w:r w:rsidR="00E97BB2">
        <w:rPr>
          <w:rFonts w:ascii="Times New Roman" w:hAnsi="Times New Roman"/>
          <w:color w:val="000000"/>
          <w:spacing w:val="-3"/>
        </w:rPr>
        <w:t xml:space="preserve"> 8143</w:t>
      </w:r>
      <w:r w:rsidR="00EC3054" w:rsidRPr="00B45B86">
        <w:rPr>
          <w:rFonts w:ascii="Times New Roman" w:hAnsi="Times New Roman"/>
          <w:color w:val="000000"/>
          <w:spacing w:val="-3"/>
        </w:rPr>
        <w:t xml:space="preserve"> человек</w:t>
      </w:r>
      <w:r w:rsidR="00F116F7">
        <w:rPr>
          <w:rFonts w:ascii="Times New Roman" w:hAnsi="Times New Roman"/>
          <w:color w:val="000000"/>
          <w:spacing w:val="-3"/>
        </w:rPr>
        <w:t>а</w:t>
      </w:r>
      <w:r w:rsidR="00EC3054" w:rsidRPr="00B45B86">
        <w:rPr>
          <w:rFonts w:ascii="Times New Roman" w:hAnsi="Times New Roman"/>
          <w:color w:val="000000"/>
          <w:spacing w:val="-3"/>
        </w:rPr>
        <w:t xml:space="preserve">. </w:t>
      </w:r>
      <w:r w:rsidR="00F83F02" w:rsidRPr="00B45B86">
        <w:rPr>
          <w:rFonts w:ascii="Times New Roman" w:hAnsi="Times New Roman"/>
        </w:rPr>
        <w:t xml:space="preserve"> </w:t>
      </w:r>
      <w:r w:rsidRPr="00B45B86">
        <w:rPr>
          <w:rFonts w:ascii="Times New Roman" w:hAnsi="Times New Roman"/>
        </w:rPr>
        <w:t xml:space="preserve"> </w:t>
      </w:r>
      <w:r w:rsidR="009B704A" w:rsidRPr="00B45B86">
        <w:rPr>
          <w:rFonts w:ascii="Times New Roman" w:hAnsi="Times New Roman"/>
        </w:rPr>
        <w:t xml:space="preserve">За </w:t>
      </w:r>
      <w:r w:rsidR="00E448BA" w:rsidRPr="00B45B86">
        <w:rPr>
          <w:rFonts w:ascii="Times New Roman" w:hAnsi="Times New Roman"/>
        </w:rPr>
        <w:t xml:space="preserve"> </w:t>
      </w:r>
      <w:r w:rsidR="00F457EB" w:rsidRPr="00B45B86">
        <w:rPr>
          <w:rFonts w:ascii="Times New Roman" w:hAnsi="Times New Roman"/>
        </w:rPr>
        <w:t xml:space="preserve"> </w:t>
      </w:r>
      <w:r w:rsidR="00F64621" w:rsidRPr="00B45B86">
        <w:rPr>
          <w:rFonts w:ascii="Times New Roman" w:hAnsi="Times New Roman"/>
        </w:rPr>
        <w:t xml:space="preserve"> </w:t>
      </w:r>
      <w:r w:rsidR="00AF1545" w:rsidRPr="00B45B86">
        <w:rPr>
          <w:rFonts w:ascii="Times New Roman" w:hAnsi="Times New Roman"/>
        </w:rPr>
        <w:t xml:space="preserve"> </w:t>
      </w:r>
      <w:r w:rsidR="008178F4" w:rsidRPr="00B45B86">
        <w:rPr>
          <w:rFonts w:ascii="Times New Roman" w:hAnsi="Times New Roman"/>
        </w:rPr>
        <w:t xml:space="preserve"> 2022</w:t>
      </w:r>
      <w:r w:rsidR="00F457EB" w:rsidRPr="00B45B86">
        <w:rPr>
          <w:rFonts w:ascii="Times New Roman" w:hAnsi="Times New Roman"/>
        </w:rPr>
        <w:t xml:space="preserve"> год</w:t>
      </w:r>
      <w:r w:rsidR="00333BA0" w:rsidRPr="00B45B86">
        <w:rPr>
          <w:rFonts w:ascii="Times New Roman" w:hAnsi="Times New Roman"/>
        </w:rPr>
        <w:t xml:space="preserve"> рождаемость составила </w:t>
      </w:r>
      <w:r w:rsidR="00DB6491">
        <w:rPr>
          <w:rFonts w:ascii="Times New Roman" w:hAnsi="Times New Roman"/>
        </w:rPr>
        <w:t>58</w:t>
      </w:r>
      <w:r w:rsidR="00F84CD7" w:rsidRPr="00B45B86">
        <w:rPr>
          <w:rFonts w:ascii="Times New Roman" w:hAnsi="Times New Roman"/>
        </w:rPr>
        <w:t xml:space="preserve"> человек (</w:t>
      </w:r>
      <w:r w:rsidR="00DB6491">
        <w:rPr>
          <w:rFonts w:ascii="Times New Roman" w:hAnsi="Times New Roman"/>
        </w:rPr>
        <w:t>68</w:t>
      </w:r>
      <w:r w:rsidR="00483287" w:rsidRPr="00B45B86">
        <w:rPr>
          <w:rFonts w:ascii="Times New Roman" w:hAnsi="Times New Roman"/>
        </w:rPr>
        <w:t xml:space="preserve"> в 2021</w:t>
      </w:r>
      <w:r w:rsidR="00333BA0" w:rsidRPr="00B45B86">
        <w:rPr>
          <w:rFonts w:ascii="Times New Roman" w:hAnsi="Times New Roman"/>
        </w:rPr>
        <w:t xml:space="preserve"> г).</w:t>
      </w:r>
      <w:r w:rsidR="00DB6491">
        <w:rPr>
          <w:rFonts w:ascii="Times New Roman" w:hAnsi="Times New Roman"/>
        </w:rPr>
        <w:t xml:space="preserve"> Смертность - 166</w:t>
      </w:r>
      <w:r w:rsidR="00F84CD7" w:rsidRPr="00B45B86">
        <w:rPr>
          <w:rFonts w:ascii="Times New Roman" w:hAnsi="Times New Roman"/>
        </w:rPr>
        <w:t xml:space="preserve"> человек (</w:t>
      </w:r>
      <w:r w:rsidR="00DB6491">
        <w:rPr>
          <w:rFonts w:ascii="Times New Roman" w:hAnsi="Times New Roman"/>
        </w:rPr>
        <w:t>169</w:t>
      </w:r>
      <w:r w:rsidR="00DB4941" w:rsidRPr="00B45B86">
        <w:rPr>
          <w:rFonts w:ascii="Times New Roman" w:hAnsi="Times New Roman"/>
        </w:rPr>
        <w:t xml:space="preserve"> человек</w:t>
      </w:r>
      <w:r w:rsidR="00483287" w:rsidRPr="00B45B86">
        <w:rPr>
          <w:rFonts w:ascii="Times New Roman" w:hAnsi="Times New Roman"/>
        </w:rPr>
        <w:t xml:space="preserve"> в 2021</w:t>
      </w:r>
      <w:r w:rsidR="00134121" w:rsidRPr="00B45B86">
        <w:rPr>
          <w:rFonts w:ascii="Times New Roman" w:hAnsi="Times New Roman"/>
        </w:rPr>
        <w:t xml:space="preserve"> г). </w:t>
      </w:r>
      <w:r w:rsidR="008865A8" w:rsidRPr="00B45B86">
        <w:rPr>
          <w:rFonts w:ascii="Times New Roman" w:hAnsi="Times New Roman"/>
        </w:rPr>
        <w:t>Естествен</w:t>
      </w:r>
      <w:r w:rsidR="00333BA0" w:rsidRPr="00B45B86">
        <w:rPr>
          <w:rFonts w:ascii="Times New Roman" w:hAnsi="Times New Roman"/>
        </w:rPr>
        <w:t xml:space="preserve">ная убыль населения составила </w:t>
      </w:r>
      <w:r w:rsidR="00DB6491">
        <w:rPr>
          <w:rFonts w:ascii="Times New Roman" w:hAnsi="Times New Roman"/>
        </w:rPr>
        <w:t>108</w:t>
      </w:r>
      <w:r w:rsidR="00333BA0" w:rsidRPr="00B45B86">
        <w:rPr>
          <w:rFonts w:ascii="Times New Roman" w:hAnsi="Times New Roman"/>
        </w:rPr>
        <w:t xml:space="preserve"> человек</w:t>
      </w:r>
      <w:r w:rsidR="008865A8" w:rsidRPr="00B45B86">
        <w:rPr>
          <w:rFonts w:ascii="Times New Roman" w:hAnsi="Times New Roman"/>
        </w:rPr>
        <w:t>.</w:t>
      </w:r>
      <w:r w:rsidR="00483287" w:rsidRPr="00B45B86">
        <w:rPr>
          <w:rFonts w:ascii="Times New Roman" w:hAnsi="Times New Roman"/>
        </w:rPr>
        <w:t xml:space="preserve"> Коэффициент рождаемости (родившихся на 1000</w:t>
      </w:r>
      <w:r w:rsidR="00DB6491">
        <w:rPr>
          <w:rFonts w:ascii="Times New Roman" w:hAnsi="Times New Roman"/>
        </w:rPr>
        <w:t xml:space="preserve"> человек населения) составил 6,9</w:t>
      </w:r>
      <w:r w:rsidR="00AF1545" w:rsidRPr="00B45B86">
        <w:rPr>
          <w:rFonts w:ascii="Times New Roman" w:hAnsi="Times New Roman"/>
        </w:rPr>
        <w:t xml:space="preserve"> (по области 7,4</w:t>
      </w:r>
      <w:r w:rsidR="00483287" w:rsidRPr="00B45B86">
        <w:rPr>
          <w:rFonts w:ascii="Times New Roman" w:hAnsi="Times New Roman"/>
        </w:rPr>
        <w:t>), коэффициент смертности (умерших</w:t>
      </w:r>
      <w:r w:rsidR="00DB6491">
        <w:rPr>
          <w:rFonts w:ascii="Times New Roman" w:hAnsi="Times New Roman"/>
        </w:rPr>
        <w:t xml:space="preserve"> на 1000 человек населения) 19,6 (по области 15,5</w:t>
      </w:r>
      <w:r w:rsidR="00483287" w:rsidRPr="00B45B86">
        <w:rPr>
          <w:rFonts w:ascii="Times New Roman" w:hAnsi="Times New Roman"/>
        </w:rPr>
        <w:t xml:space="preserve">). </w:t>
      </w:r>
    </w:p>
    <w:p w:rsidR="00092B42" w:rsidRPr="00C556BB" w:rsidRDefault="00092B42" w:rsidP="00092B42">
      <w:pPr>
        <w:ind w:firstLine="720"/>
        <w:jc w:val="both"/>
      </w:pPr>
      <w:r w:rsidRPr="00C556BB">
        <w:t>Генеральная совокупность предприятий</w:t>
      </w:r>
      <w:r w:rsidR="00CD539F" w:rsidRPr="00C556BB">
        <w:t xml:space="preserve"> и </w:t>
      </w:r>
      <w:r w:rsidR="000E58E5" w:rsidRPr="00C556BB">
        <w:t>организаций округа</w:t>
      </w:r>
      <w:r w:rsidR="006C77F5" w:rsidRPr="00C556BB">
        <w:t xml:space="preserve"> на 01 января 2023</w:t>
      </w:r>
      <w:r w:rsidR="00AF1545" w:rsidRPr="00C556BB">
        <w:t xml:space="preserve"> года насчитывает 80</w:t>
      </w:r>
      <w:r w:rsidRPr="00C556BB">
        <w:t xml:space="preserve"> единиц. Численность индивидуальных</w:t>
      </w:r>
      <w:r w:rsidR="008865A8" w:rsidRPr="00C556BB">
        <w:t xml:space="preserve"> предприни</w:t>
      </w:r>
      <w:r w:rsidR="008D07F3" w:rsidRPr="00C556BB">
        <w:t>мателей – 1</w:t>
      </w:r>
      <w:r w:rsidR="006C77F5" w:rsidRPr="00C556BB">
        <w:t>59</w:t>
      </w:r>
      <w:r w:rsidR="00062749" w:rsidRPr="00C556BB">
        <w:t xml:space="preserve"> человек</w:t>
      </w:r>
      <w:r w:rsidRPr="00C556BB">
        <w:t>.</w:t>
      </w:r>
    </w:p>
    <w:p w:rsidR="00092B42" w:rsidRPr="00C556BB" w:rsidRDefault="00092B42" w:rsidP="00092B42">
      <w:pPr>
        <w:ind w:firstLine="720"/>
        <w:jc w:val="both"/>
      </w:pPr>
      <w:r w:rsidRPr="00C556BB">
        <w:t>Оборот крупных и ср</w:t>
      </w:r>
      <w:r w:rsidR="00CD539F" w:rsidRPr="00C556BB">
        <w:t>е</w:t>
      </w:r>
      <w:r w:rsidR="000E58E5" w:rsidRPr="00C556BB">
        <w:t>дних предприятий округа</w:t>
      </w:r>
      <w:r w:rsidR="00C948D2" w:rsidRPr="00C556BB">
        <w:t xml:space="preserve"> </w:t>
      </w:r>
      <w:r w:rsidR="00C556BB" w:rsidRPr="00C556BB">
        <w:t xml:space="preserve"> за  2022 год – 2372,1</w:t>
      </w:r>
      <w:r w:rsidR="00AC4FA2" w:rsidRPr="00C556BB">
        <w:t xml:space="preserve"> млн. рублей </w:t>
      </w:r>
      <w:r w:rsidR="00C556BB" w:rsidRPr="00C556BB">
        <w:t>(123,2</w:t>
      </w:r>
      <w:r w:rsidRPr="00C556BB">
        <w:t xml:space="preserve"> % к уровню прошлого года), отгрузка товаров, работ, услуг с</w:t>
      </w:r>
      <w:r w:rsidR="00CD539F" w:rsidRPr="00C556BB">
        <w:t>о</w:t>
      </w:r>
      <w:r w:rsidR="00C556BB" w:rsidRPr="00C556BB">
        <w:t>бственного производства – 1915,2 млн. рублей (124</w:t>
      </w:r>
      <w:r w:rsidRPr="00C556BB">
        <w:t xml:space="preserve"> %). </w:t>
      </w:r>
    </w:p>
    <w:p w:rsidR="00D45064" w:rsidRPr="00D436C4" w:rsidRDefault="00092B42" w:rsidP="00092B42">
      <w:pPr>
        <w:ind w:firstLine="720"/>
        <w:jc w:val="both"/>
      </w:pPr>
      <w:r w:rsidRPr="00D436C4">
        <w:t>Оборот розничной торговли по крупным и средним пр</w:t>
      </w:r>
      <w:r w:rsidR="000E58E5" w:rsidRPr="00D436C4">
        <w:t xml:space="preserve">едприятиям </w:t>
      </w:r>
      <w:r w:rsidR="00EC6F72" w:rsidRPr="00D436C4">
        <w:t xml:space="preserve"> составил </w:t>
      </w:r>
      <w:r w:rsidR="00D436C4" w:rsidRPr="00D436C4">
        <w:t>471,6</w:t>
      </w:r>
      <w:r w:rsidR="00826135" w:rsidRPr="00D436C4">
        <w:t xml:space="preserve">  млн. рубле</w:t>
      </w:r>
      <w:r w:rsidR="00D436C4" w:rsidRPr="00D436C4">
        <w:t>й (125,8</w:t>
      </w:r>
      <w:r w:rsidRPr="00D436C4">
        <w:t xml:space="preserve"> %), о</w:t>
      </w:r>
      <w:r w:rsidR="00EC6F72" w:rsidRPr="00D436C4">
        <w:t>б</w:t>
      </w:r>
      <w:r w:rsidR="006D435C" w:rsidRPr="00D436C4">
        <w:t>орот общественного питания</w:t>
      </w:r>
      <w:r w:rsidR="00D10A02" w:rsidRPr="00D436C4">
        <w:t xml:space="preserve"> </w:t>
      </w:r>
      <w:r w:rsidR="00D436C4" w:rsidRPr="00D436C4">
        <w:t>– 9,4 млн. рублей (133,1</w:t>
      </w:r>
      <w:r w:rsidRPr="00D436C4">
        <w:t>%).</w:t>
      </w:r>
    </w:p>
    <w:p w:rsidR="00405CF4" w:rsidRPr="00651C45" w:rsidRDefault="00405CF4" w:rsidP="00405CF4">
      <w:pPr>
        <w:ind w:firstLine="720"/>
        <w:jc w:val="both"/>
      </w:pPr>
      <w:r w:rsidRPr="00D436C4">
        <w:t>Среднемесячная заработная плата по крупным и средним предприяти</w:t>
      </w:r>
      <w:r w:rsidR="002C202C" w:rsidRPr="00D436C4">
        <w:t>ям</w:t>
      </w:r>
      <w:r w:rsidR="000E58E5" w:rsidRPr="00D436C4">
        <w:t xml:space="preserve"> округа</w:t>
      </w:r>
      <w:r w:rsidR="00071245" w:rsidRPr="00D436C4">
        <w:t xml:space="preserve"> </w:t>
      </w:r>
      <w:r w:rsidR="00071245" w:rsidRPr="00651C45">
        <w:t xml:space="preserve">составила за </w:t>
      </w:r>
      <w:r w:rsidR="008F369A" w:rsidRPr="00651C45">
        <w:t xml:space="preserve"> </w:t>
      </w:r>
      <w:r w:rsidR="00CB1B09" w:rsidRPr="00651C45">
        <w:t xml:space="preserve"> 2022</w:t>
      </w:r>
      <w:r w:rsidR="00071245" w:rsidRPr="00651C45">
        <w:t xml:space="preserve"> год</w:t>
      </w:r>
      <w:r w:rsidR="00651C45" w:rsidRPr="00651C45">
        <w:t xml:space="preserve"> 33950,7</w:t>
      </w:r>
      <w:r w:rsidR="00241010" w:rsidRPr="00651C45">
        <w:t xml:space="preserve"> </w:t>
      </w:r>
      <w:r w:rsidRPr="00651C45">
        <w:t>рублей, рост</w:t>
      </w:r>
      <w:r w:rsidR="000728BA" w:rsidRPr="00651C45">
        <w:t xml:space="preserve"> заработной платы составил </w:t>
      </w:r>
      <w:r w:rsidR="00651C45" w:rsidRPr="00651C45">
        <w:t>114,4</w:t>
      </w:r>
      <w:r w:rsidR="00241010" w:rsidRPr="00651C45">
        <w:t>%.</w:t>
      </w:r>
    </w:p>
    <w:p w:rsidR="00CB1B09" w:rsidRPr="00651C45" w:rsidRDefault="00CB1B09" w:rsidP="00405CF4">
      <w:pPr>
        <w:ind w:firstLine="720"/>
        <w:jc w:val="both"/>
      </w:pPr>
      <w:r w:rsidRPr="00651C45">
        <w:t>Среднесписочная численность работников (без внешних совм</w:t>
      </w:r>
      <w:r w:rsidR="00CE4B01" w:rsidRPr="00651C45">
        <w:t>ести</w:t>
      </w:r>
      <w:r w:rsidR="00651C45" w:rsidRPr="00651C45">
        <w:t>телей) за январь-декабрь 2022 года составила 1750</w:t>
      </w:r>
      <w:r w:rsidR="00651C45">
        <w:t xml:space="preserve"> человек (96,3% к уровню 2021 года).</w:t>
      </w:r>
    </w:p>
    <w:p w:rsidR="00D45064" w:rsidRPr="00651C45" w:rsidRDefault="00651C45" w:rsidP="00521A65">
      <w:pPr>
        <w:ind w:firstLine="720"/>
        <w:jc w:val="both"/>
      </w:pPr>
      <w:r w:rsidRPr="00651C45">
        <w:t xml:space="preserve">За </w:t>
      </w:r>
      <w:r w:rsidR="00D42C30" w:rsidRPr="00651C45">
        <w:t xml:space="preserve"> 2022</w:t>
      </w:r>
      <w:r w:rsidR="00D572FF" w:rsidRPr="00651C45">
        <w:t xml:space="preserve"> год о</w:t>
      </w:r>
      <w:r w:rsidR="00D45064" w:rsidRPr="00651C45">
        <w:t>бъём инвестиций в основн</w:t>
      </w:r>
      <w:r w:rsidR="001B20DA" w:rsidRPr="00651C45">
        <w:t>ой капит</w:t>
      </w:r>
      <w:r w:rsidR="00360A25" w:rsidRPr="00651C45">
        <w:t>ал со</w:t>
      </w:r>
      <w:r w:rsidRPr="00651C45">
        <w:t>ставил 401,5</w:t>
      </w:r>
      <w:r w:rsidR="00B956CC" w:rsidRPr="00651C45">
        <w:t xml:space="preserve"> млн.</w:t>
      </w:r>
      <w:r w:rsidRPr="00651C45">
        <w:t xml:space="preserve"> рублей или 154</w:t>
      </w:r>
      <w:r w:rsidR="00826135" w:rsidRPr="00651C45">
        <w:t>,8</w:t>
      </w:r>
      <w:r w:rsidR="001B20DA" w:rsidRPr="00651C45">
        <w:t xml:space="preserve"> % к уровню </w:t>
      </w:r>
      <w:r w:rsidR="00D45064" w:rsidRPr="00651C45">
        <w:t xml:space="preserve"> </w:t>
      </w:r>
      <w:r w:rsidR="00860E65" w:rsidRPr="00651C45">
        <w:t xml:space="preserve">аналогичного периода </w:t>
      </w:r>
      <w:r w:rsidR="00D45064" w:rsidRPr="00651C45">
        <w:t>прошлого года.  Соб</w:t>
      </w:r>
      <w:r w:rsidR="00E25225" w:rsidRPr="00651C45">
        <w:t>ственные</w:t>
      </w:r>
      <w:r w:rsidR="000728BA" w:rsidRPr="00651C45">
        <w:t xml:space="preserve"> сред</w:t>
      </w:r>
      <w:r w:rsidR="002071F8" w:rsidRPr="00651C45">
        <w:t>ства соста</w:t>
      </w:r>
      <w:r w:rsidRPr="00651C45">
        <w:t>вили 51,6%.  87</w:t>
      </w:r>
      <w:r w:rsidR="00D45064" w:rsidRPr="00651C45">
        <w:t>% инвестиций вложены в отрасли «сельское хозяйство».</w:t>
      </w:r>
    </w:p>
    <w:p w:rsidR="00D45064" w:rsidRPr="00B01573" w:rsidRDefault="00D45064" w:rsidP="00521A65">
      <w:pPr>
        <w:ind w:firstLine="720"/>
        <w:jc w:val="both"/>
      </w:pPr>
      <w:r w:rsidRPr="00651C45">
        <w:t>Прибыль крупных и сред</w:t>
      </w:r>
      <w:r w:rsidR="00E25225" w:rsidRPr="00651C45">
        <w:t>них</w:t>
      </w:r>
      <w:r w:rsidR="00D47D40" w:rsidRPr="00651C45">
        <w:t xml:space="preserve"> предприятий</w:t>
      </w:r>
      <w:r w:rsidR="000E58E5" w:rsidRPr="00651C45">
        <w:t xml:space="preserve"> округа</w:t>
      </w:r>
      <w:r w:rsidR="00651C45" w:rsidRPr="00651C45">
        <w:t xml:space="preserve"> на 1 января 2023</w:t>
      </w:r>
      <w:r w:rsidR="00256E86" w:rsidRPr="00651C45">
        <w:t xml:space="preserve"> года</w:t>
      </w:r>
      <w:r w:rsidR="00651C45" w:rsidRPr="00651C45">
        <w:t xml:space="preserve"> составила 267,1</w:t>
      </w:r>
      <w:r w:rsidR="0088186D" w:rsidRPr="00651C45">
        <w:t xml:space="preserve"> млн. рубле</w:t>
      </w:r>
      <w:r w:rsidR="00F7110F" w:rsidRPr="00651C45">
        <w:t xml:space="preserve">й или </w:t>
      </w:r>
      <w:r w:rsidR="00651C45" w:rsidRPr="00651C45">
        <w:t>143,6</w:t>
      </w:r>
      <w:r w:rsidR="003D49E1" w:rsidRPr="00651C45">
        <w:t xml:space="preserve"> </w:t>
      </w:r>
      <w:r w:rsidRPr="00651C45">
        <w:t>% к уровню прошлого года.</w:t>
      </w:r>
      <w:r w:rsidRPr="00B01573">
        <w:t xml:space="preserve"> </w:t>
      </w:r>
    </w:p>
    <w:p w:rsidR="009266DF" w:rsidRPr="00B01573" w:rsidRDefault="009266DF" w:rsidP="00521A65">
      <w:pPr>
        <w:pStyle w:val="6"/>
        <w:ind w:firstLine="0"/>
        <w:rPr>
          <w:rFonts w:ascii="Times New Roman" w:hAnsi="Times New Roman" w:cs="Times New Roman"/>
          <w:i/>
          <w:iCs/>
          <w:sz w:val="24"/>
        </w:rPr>
      </w:pPr>
    </w:p>
    <w:p w:rsidR="00521A65" w:rsidRPr="00323DB2" w:rsidRDefault="00521A65" w:rsidP="002D744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23DB2">
        <w:rPr>
          <w:rFonts w:ascii="Times New Roman" w:hAnsi="Times New Roman" w:cs="Times New Roman"/>
          <w:sz w:val="24"/>
          <w:szCs w:val="24"/>
        </w:rPr>
        <w:t>Сельское хозяйство</w:t>
      </w:r>
    </w:p>
    <w:p w:rsidR="00521A65" w:rsidRPr="002557E4" w:rsidRDefault="00521A65" w:rsidP="00521A65">
      <w:pPr>
        <w:rPr>
          <w:highlight w:val="yellow"/>
        </w:rPr>
      </w:pPr>
    </w:p>
    <w:p w:rsidR="00092B42" w:rsidRPr="00D065DF" w:rsidRDefault="00092B42" w:rsidP="00092B42">
      <w:pPr>
        <w:ind w:firstLine="720"/>
        <w:jc w:val="both"/>
      </w:pPr>
      <w:r w:rsidRPr="00D065DF">
        <w:t xml:space="preserve">Показатели деятельности сельскохозяйственных товаропроизводителей  </w:t>
      </w:r>
      <w:proofErr w:type="spellStart"/>
      <w:r w:rsidRPr="00D065DF">
        <w:t>Пижанск</w:t>
      </w:r>
      <w:r w:rsidR="00026E98">
        <w:t>ого</w:t>
      </w:r>
      <w:proofErr w:type="spellEnd"/>
      <w:r w:rsidR="00026E98">
        <w:t xml:space="preserve"> муниципального округа</w:t>
      </w:r>
      <w:r w:rsidR="004D3F14">
        <w:t xml:space="preserve"> по состоянию на 01.</w:t>
      </w:r>
      <w:r w:rsidR="00823BDF">
        <w:t>01.</w:t>
      </w:r>
      <w:r w:rsidRPr="00D065DF">
        <w:t>202</w:t>
      </w:r>
      <w:r w:rsidR="00823BDF">
        <w:t>3</w:t>
      </w:r>
      <w:r w:rsidRPr="00D065DF">
        <w:t xml:space="preserve"> приведены в таблиц</w:t>
      </w:r>
      <w:r w:rsidR="00641AAE" w:rsidRPr="00D065DF">
        <w:t>е</w:t>
      </w:r>
      <w:r w:rsidRPr="00D065DF">
        <w:t>.</w:t>
      </w:r>
    </w:p>
    <w:p w:rsidR="00092B42" w:rsidRPr="00D065DF" w:rsidRDefault="00092B42" w:rsidP="00092B42">
      <w:pPr>
        <w:ind w:firstLine="720"/>
        <w:jc w:val="both"/>
      </w:pPr>
    </w:p>
    <w:p w:rsidR="00092B42" w:rsidRPr="00D065DF" w:rsidRDefault="00092B42" w:rsidP="00092B42">
      <w:pPr>
        <w:jc w:val="center"/>
      </w:pPr>
      <w:r w:rsidRPr="00D065DF">
        <w:t xml:space="preserve">Численность скота и птицы, производство продукции животноводства </w:t>
      </w:r>
    </w:p>
    <w:p w:rsidR="00092B42" w:rsidRPr="002557E4" w:rsidRDefault="00092B42" w:rsidP="00092B42">
      <w:pPr>
        <w:jc w:val="center"/>
        <w:rPr>
          <w:highlight w:val="yellow"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080"/>
        <w:gridCol w:w="1288"/>
        <w:gridCol w:w="1289"/>
        <w:gridCol w:w="1289"/>
      </w:tblGrid>
      <w:tr w:rsidR="00092B42" w:rsidRPr="002557E4" w:rsidTr="00635A9D">
        <w:trPr>
          <w:tblHeader/>
        </w:trPr>
        <w:tc>
          <w:tcPr>
            <w:tcW w:w="4608" w:type="dxa"/>
          </w:tcPr>
          <w:p w:rsidR="00092B42" w:rsidRPr="00602F78" w:rsidRDefault="00092B42" w:rsidP="00635A9D">
            <w:pPr>
              <w:jc w:val="center"/>
            </w:pPr>
            <w:r w:rsidRPr="00602F78">
              <w:t xml:space="preserve">Наименование </w:t>
            </w:r>
          </w:p>
          <w:p w:rsidR="00092B42" w:rsidRPr="00602F78" w:rsidRDefault="00092B42" w:rsidP="00635A9D">
            <w:pPr>
              <w:jc w:val="center"/>
            </w:pPr>
            <w:r w:rsidRPr="00602F78">
              <w:t xml:space="preserve">показателей </w:t>
            </w:r>
          </w:p>
        </w:tc>
        <w:tc>
          <w:tcPr>
            <w:tcW w:w="1080" w:type="dxa"/>
          </w:tcPr>
          <w:p w:rsidR="00092B42" w:rsidRPr="00602F78" w:rsidRDefault="00092B42" w:rsidP="00635A9D">
            <w:pPr>
              <w:jc w:val="center"/>
            </w:pPr>
            <w:r w:rsidRPr="00602F78">
              <w:t>ед.</w:t>
            </w:r>
          </w:p>
          <w:p w:rsidR="00092B42" w:rsidRPr="00602F78" w:rsidRDefault="00092B42" w:rsidP="00635A9D">
            <w:pPr>
              <w:jc w:val="center"/>
            </w:pPr>
            <w:proofErr w:type="spellStart"/>
            <w:r w:rsidRPr="00602F78">
              <w:t>изм</w:t>
            </w:r>
            <w:proofErr w:type="spellEnd"/>
            <w:r w:rsidRPr="00602F78">
              <w:t>.</w:t>
            </w:r>
          </w:p>
        </w:tc>
        <w:tc>
          <w:tcPr>
            <w:tcW w:w="1288" w:type="dxa"/>
          </w:tcPr>
          <w:p w:rsidR="00092B42" w:rsidRPr="00602F78" w:rsidRDefault="00161A71" w:rsidP="00635A9D">
            <w:pPr>
              <w:jc w:val="center"/>
            </w:pPr>
            <w:r w:rsidRPr="00602F78">
              <w:t>20</w:t>
            </w:r>
            <w:r w:rsidR="00D40D80">
              <w:rPr>
                <w:lang w:val="en-US"/>
              </w:rPr>
              <w:t>2</w:t>
            </w:r>
            <w:r w:rsidR="00D40D80">
              <w:t>1</w:t>
            </w:r>
            <w:r w:rsidR="00092B42" w:rsidRPr="00602F78">
              <w:t xml:space="preserve"> год </w:t>
            </w:r>
          </w:p>
        </w:tc>
        <w:tc>
          <w:tcPr>
            <w:tcW w:w="1289" w:type="dxa"/>
          </w:tcPr>
          <w:p w:rsidR="00092B42" w:rsidRPr="00602F78" w:rsidRDefault="00092B42" w:rsidP="00161A71">
            <w:pPr>
              <w:jc w:val="center"/>
            </w:pPr>
            <w:r w:rsidRPr="00602F78">
              <w:t>202</w:t>
            </w:r>
            <w:r w:rsidR="00D40D80">
              <w:t>2</w:t>
            </w:r>
            <w:r w:rsidRPr="00602F78">
              <w:t xml:space="preserve"> год</w:t>
            </w:r>
          </w:p>
        </w:tc>
        <w:tc>
          <w:tcPr>
            <w:tcW w:w="1289" w:type="dxa"/>
          </w:tcPr>
          <w:p w:rsidR="00092B42" w:rsidRPr="00602F78" w:rsidRDefault="00161A71" w:rsidP="00635A9D">
            <w:pPr>
              <w:jc w:val="center"/>
            </w:pPr>
            <w:r w:rsidRPr="00602F78">
              <w:t>202</w:t>
            </w:r>
            <w:r w:rsidR="00D40D80">
              <w:t>2</w:t>
            </w:r>
            <w:r w:rsidR="00092B42" w:rsidRPr="00602F78">
              <w:t>г.</w:t>
            </w:r>
          </w:p>
          <w:p w:rsidR="00092B42" w:rsidRPr="00602F78" w:rsidRDefault="00092B42" w:rsidP="00635A9D">
            <w:pPr>
              <w:jc w:val="center"/>
            </w:pPr>
            <w:proofErr w:type="spellStart"/>
            <w:r w:rsidRPr="00602F78">
              <w:t>в%</w:t>
            </w:r>
            <w:proofErr w:type="spellEnd"/>
            <w:r w:rsidRPr="00602F78">
              <w:t xml:space="preserve">  к </w:t>
            </w:r>
          </w:p>
          <w:p w:rsidR="00092B42" w:rsidRPr="00602F78" w:rsidRDefault="00161A71" w:rsidP="00D40D80">
            <w:pPr>
              <w:jc w:val="center"/>
            </w:pPr>
            <w:r w:rsidRPr="00602F78">
              <w:t>20</w:t>
            </w:r>
            <w:r w:rsidRPr="00602F78">
              <w:rPr>
                <w:lang w:val="en-US"/>
              </w:rPr>
              <w:t>2</w:t>
            </w:r>
            <w:r w:rsidR="00D40D80">
              <w:t>1</w:t>
            </w:r>
            <w:r w:rsidR="00092B42" w:rsidRPr="00602F78">
              <w:t xml:space="preserve"> г.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 xml:space="preserve">Поголовье крупного рогатого скота </w:t>
            </w:r>
          </w:p>
        </w:tc>
        <w:tc>
          <w:tcPr>
            <w:tcW w:w="1080" w:type="dxa"/>
          </w:tcPr>
          <w:p w:rsidR="00092B42" w:rsidRPr="00602F78" w:rsidRDefault="00092B42" w:rsidP="00635A9D">
            <w:pPr>
              <w:jc w:val="center"/>
            </w:pPr>
            <w:r w:rsidRPr="00602F78">
              <w:t>гол</w:t>
            </w:r>
          </w:p>
        </w:tc>
        <w:tc>
          <w:tcPr>
            <w:tcW w:w="1288" w:type="dxa"/>
          </w:tcPr>
          <w:p w:rsidR="00092B42" w:rsidRPr="00823BDF" w:rsidRDefault="00092B42" w:rsidP="00635A9D">
            <w:pPr>
              <w:jc w:val="center"/>
            </w:pPr>
            <w:r w:rsidRPr="00602F78">
              <w:t>8</w:t>
            </w:r>
            <w:r w:rsidR="00152235">
              <w:t>2</w:t>
            </w:r>
            <w:r w:rsidR="00823BDF">
              <w:t>76</w:t>
            </w:r>
          </w:p>
        </w:tc>
        <w:tc>
          <w:tcPr>
            <w:tcW w:w="1289" w:type="dxa"/>
          </w:tcPr>
          <w:p w:rsidR="00092B42" w:rsidRPr="00823BDF" w:rsidRDefault="009C172B" w:rsidP="00635A9D">
            <w:pPr>
              <w:jc w:val="center"/>
            </w:pPr>
            <w:r w:rsidRPr="00602F78">
              <w:t>8</w:t>
            </w:r>
            <w:r w:rsidR="004D3F14">
              <w:rPr>
                <w:lang w:val="en-US"/>
              </w:rPr>
              <w:t>4</w:t>
            </w:r>
            <w:r w:rsidR="00823BDF">
              <w:t>62</w:t>
            </w:r>
          </w:p>
        </w:tc>
        <w:tc>
          <w:tcPr>
            <w:tcW w:w="1289" w:type="dxa"/>
          </w:tcPr>
          <w:p w:rsidR="00092B42" w:rsidRPr="004D3F14" w:rsidRDefault="008508F4" w:rsidP="00823BDF">
            <w:pPr>
              <w:jc w:val="center"/>
              <w:rPr>
                <w:lang w:val="en-US"/>
              </w:rPr>
            </w:pPr>
            <w:r>
              <w:t>10</w:t>
            </w:r>
            <w:r w:rsidR="00823BDF">
              <w:t>2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 xml:space="preserve">в том числе коров </w:t>
            </w:r>
          </w:p>
        </w:tc>
        <w:tc>
          <w:tcPr>
            <w:tcW w:w="1080" w:type="dxa"/>
          </w:tcPr>
          <w:p w:rsidR="00092B42" w:rsidRPr="00602F78" w:rsidRDefault="00092B42" w:rsidP="00635A9D">
            <w:pPr>
              <w:jc w:val="center"/>
            </w:pPr>
            <w:r w:rsidRPr="00602F78">
              <w:t>гол</w:t>
            </w:r>
          </w:p>
        </w:tc>
        <w:tc>
          <w:tcPr>
            <w:tcW w:w="1288" w:type="dxa"/>
          </w:tcPr>
          <w:p w:rsidR="00092B42" w:rsidRPr="00602F78" w:rsidRDefault="00092B42" w:rsidP="00635A9D">
            <w:pPr>
              <w:jc w:val="center"/>
            </w:pPr>
            <w:r w:rsidRPr="00602F78">
              <w:t>3</w:t>
            </w:r>
            <w:r w:rsidR="00823BDF">
              <w:t>24</w:t>
            </w:r>
            <w:r w:rsidR="009363E4" w:rsidRPr="00602F78">
              <w:t>8</w:t>
            </w:r>
          </w:p>
        </w:tc>
        <w:tc>
          <w:tcPr>
            <w:tcW w:w="1289" w:type="dxa"/>
          </w:tcPr>
          <w:p w:rsidR="00092B42" w:rsidRPr="00602F78" w:rsidRDefault="00823BDF" w:rsidP="00635A9D">
            <w:pPr>
              <w:jc w:val="center"/>
            </w:pPr>
            <w:r>
              <w:t>325</w:t>
            </w:r>
            <w:r w:rsidR="00092B42" w:rsidRPr="00602F78">
              <w:t>8</w:t>
            </w:r>
          </w:p>
        </w:tc>
        <w:tc>
          <w:tcPr>
            <w:tcW w:w="1289" w:type="dxa"/>
          </w:tcPr>
          <w:p w:rsidR="00092B42" w:rsidRPr="00602F78" w:rsidRDefault="00092B42" w:rsidP="00635A9D">
            <w:pPr>
              <w:jc w:val="center"/>
            </w:pPr>
            <w:r w:rsidRPr="00602F78">
              <w:t>10</w:t>
            </w:r>
            <w:r w:rsidR="00823BDF">
              <w:t>0,3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 xml:space="preserve">поголовье коров в ЛПХ </w:t>
            </w:r>
          </w:p>
        </w:tc>
        <w:tc>
          <w:tcPr>
            <w:tcW w:w="1080" w:type="dxa"/>
          </w:tcPr>
          <w:p w:rsidR="00092B42" w:rsidRPr="00602F78" w:rsidRDefault="00092B42" w:rsidP="00635A9D">
            <w:pPr>
              <w:jc w:val="center"/>
            </w:pPr>
            <w:r w:rsidRPr="00602F78">
              <w:t>гол</w:t>
            </w:r>
          </w:p>
        </w:tc>
        <w:tc>
          <w:tcPr>
            <w:tcW w:w="1288" w:type="dxa"/>
          </w:tcPr>
          <w:p w:rsidR="00092B42" w:rsidRPr="00823BDF" w:rsidRDefault="00823BDF" w:rsidP="00635A9D">
            <w:pPr>
              <w:jc w:val="center"/>
            </w:pPr>
            <w:r>
              <w:t>91</w:t>
            </w:r>
          </w:p>
        </w:tc>
        <w:tc>
          <w:tcPr>
            <w:tcW w:w="1289" w:type="dxa"/>
          </w:tcPr>
          <w:p w:rsidR="00092B42" w:rsidRPr="00823BDF" w:rsidRDefault="00823BDF" w:rsidP="00161A71">
            <w:pPr>
              <w:jc w:val="center"/>
            </w:pPr>
            <w:r>
              <w:t>90</w:t>
            </w:r>
          </w:p>
        </w:tc>
        <w:tc>
          <w:tcPr>
            <w:tcW w:w="1289" w:type="dxa"/>
          </w:tcPr>
          <w:p w:rsidR="00092B42" w:rsidRPr="00823BDF" w:rsidRDefault="00823BDF" w:rsidP="00635A9D">
            <w:pPr>
              <w:jc w:val="center"/>
            </w:pPr>
            <w:r>
              <w:t>99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>Реализация мяса на убой (жив</w:t>
            </w:r>
            <w:proofErr w:type="gramStart"/>
            <w:r w:rsidRPr="00602F78">
              <w:t>.</w:t>
            </w:r>
            <w:proofErr w:type="gramEnd"/>
            <w:r w:rsidRPr="00602F78">
              <w:t xml:space="preserve"> </w:t>
            </w:r>
            <w:proofErr w:type="gramStart"/>
            <w:r w:rsidRPr="00602F78">
              <w:t>в</w:t>
            </w:r>
            <w:proofErr w:type="gramEnd"/>
            <w:r w:rsidRPr="00602F78">
              <w:t xml:space="preserve">ес.) </w:t>
            </w:r>
          </w:p>
        </w:tc>
        <w:tc>
          <w:tcPr>
            <w:tcW w:w="1080" w:type="dxa"/>
          </w:tcPr>
          <w:p w:rsidR="00092B42" w:rsidRPr="00602F78" w:rsidRDefault="00823BDF" w:rsidP="00635A9D">
            <w:pPr>
              <w:jc w:val="center"/>
            </w:pPr>
            <w:r>
              <w:t>тонн</w:t>
            </w:r>
          </w:p>
        </w:tc>
        <w:tc>
          <w:tcPr>
            <w:tcW w:w="1288" w:type="dxa"/>
          </w:tcPr>
          <w:p w:rsidR="00092B42" w:rsidRPr="00823BDF" w:rsidRDefault="00823BDF" w:rsidP="00635A9D">
            <w:pPr>
              <w:jc w:val="center"/>
            </w:pPr>
            <w:r>
              <w:t>1226,8</w:t>
            </w:r>
          </w:p>
        </w:tc>
        <w:tc>
          <w:tcPr>
            <w:tcW w:w="1289" w:type="dxa"/>
          </w:tcPr>
          <w:p w:rsidR="00092B42" w:rsidRPr="00823BDF" w:rsidRDefault="00823BDF" w:rsidP="00635A9D">
            <w:pPr>
              <w:jc w:val="center"/>
            </w:pPr>
            <w:r>
              <w:t>1313</w:t>
            </w:r>
          </w:p>
        </w:tc>
        <w:tc>
          <w:tcPr>
            <w:tcW w:w="1289" w:type="dxa"/>
          </w:tcPr>
          <w:p w:rsidR="00092B42" w:rsidRPr="00823BDF" w:rsidRDefault="00C3099E" w:rsidP="00635A9D">
            <w:pPr>
              <w:jc w:val="center"/>
            </w:pPr>
            <w:r>
              <w:rPr>
                <w:lang w:val="en-US"/>
              </w:rPr>
              <w:t>10</w:t>
            </w:r>
            <w:r w:rsidR="00823BDF">
              <w:t>7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>Валовой надой молока</w:t>
            </w:r>
            <w:r w:rsidR="008508F4">
              <w:t xml:space="preserve"> в сельхозпредприятиях</w:t>
            </w:r>
          </w:p>
        </w:tc>
        <w:tc>
          <w:tcPr>
            <w:tcW w:w="1080" w:type="dxa"/>
          </w:tcPr>
          <w:p w:rsidR="00092B42" w:rsidRPr="00602F78" w:rsidRDefault="00823BDF" w:rsidP="00697647">
            <w:pPr>
              <w:jc w:val="center"/>
            </w:pPr>
            <w:r>
              <w:t>тонн</w:t>
            </w:r>
          </w:p>
        </w:tc>
        <w:tc>
          <w:tcPr>
            <w:tcW w:w="1288" w:type="dxa"/>
          </w:tcPr>
          <w:p w:rsidR="00092B42" w:rsidRPr="00823BDF" w:rsidRDefault="00823BDF" w:rsidP="00635A9D">
            <w:pPr>
              <w:jc w:val="center"/>
            </w:pPr>
            <w:r>
              <w:t>26085</w:t>
            </w:r>
          </w:p>
        </w:tc>
        <w:tc>
          <w:tcPr>
            <w:tcW w:w="1289" w:type="dxa"/>
          </w:tcPr>
          <w:p w:rsidR="00092B42" w:rsidRPr="00823BDF" w:rsidRDefault="004D3F14" w:rsidP="00635A9D">
            <w:pPr>
              <w:jc w:val="center"/>
            </w:pPr>
            <w:r>
              <w:rPr>
                <w:lang w:val="en-US"/>
              </w:rPr>
              <w:t>2</w:t>
            </w:r>
            <w:r w:rsidR="00823BDF">
              <w:t>7386</w:t>
            </w:r>
          </w:p>
        </w:tc>
        <w:tc>
          <w:tcPr>
            <w:tcW w:w="1289" w:type="dxa"/>
          </w:tcPr>
          <w:p w:rsidR="00092B42" w:rsidRPr="00C3099E" w:rsidRDefault="00092B42" w:rsidP="008508F4">
            <w:pPr>
              <w:jc w:val="center"/>
            </w:pPr>
            <w:r w:rsidRPr="00602F78">
              <w:rPr>
                <w:lang w:val="en-US"/>
              </w:rPr>
              <w:t>10</w:t>
            </w:r>
            <w:r w:rsidR="00C3099E">
              <w:t>5</w:t>
            </w:r>
          </w:p>
        </w:tc>
      </w:tr>
      <w:tr w:rsidR="00092B42" w:rsidRPr="00602F78" w:rsidTr="00635A9D">
        <w:tc>
          <w:tcPr>
            <w:tcW w:w="4608" w:type="dxa"/>
          </w:tcPr>
          <w:p w:rsidR="00092B42" w:rsidRPr="00602F78" w:rsidRDefault="00092B42" w:rsidP="00635A9D">
            <w:r w:rsidRPr="00602F78">
              <w:t xml:space="preserve">Надоено молока в расчете на одну корову </w:t>
            </w:r>
          </w:p>
        </w:tc>
        <w:tc>
          <w:tcPr>
            <w:tcW w:w="1080" w:type="dxa"/>
          </w:tcPr>
          <w:p w:rsidR="00092B42" w:rsidRPr="00602F78" w:rsidRDefault="00092B42" w:rsidP="00635A9D">
            <w:pPr>
              <w:jc w:val="center"/>
            </w:pPr>
            <w:proofErr w:type="gramStart"/>
            <w:r w:rsidRPr="00602F78">
              <w:t>кг</w:t>
            </w:r>
            <w:proofErr w:type="gramEnd"/>
            <w:r w:rsidRPr="00602F78">
              <w:t>.</w:t>
            </w:r>
          </w:p>
        </w:tc>
        <w:tc>
          <w:tcPr>
            <w:tcW w:w="1288" w:type="dxa"/>
          </w:tcPr>
          <w:p w:rsidR="00092B42" w:rsidRPr="00823BDF" w:rsidRDefault="00823BDF" w:rsidP="00635A9D">
            <w:pPr>
              <w:jc w:val="center"/>
            </w:pPr>
            <w:r>
              <w:t>8129</w:t>
            </w:r>
          </w:p>
        </w:tc>
        <w:tc>
          <w:tcPr>
            <w:tcW w:w="1289" w:type="dxa"/>
          </w:tcPr>
          <w:p w:rsidR="00092B42" w:rsidRPr="00823BDF" w:rsidRDefault="00823BDF" w:rsidP="00635A9D">
            <w:pPr>
              <w:jc w:val="center"/>
            </w:pPr>
            <w:r>
              <w:t>8431</w:t>
            </w:r>
          </w:p>
        </w:tc>
        <w:tc>
          <w:tcPr>
            <w:tcW w:w="1289" w:type="dxa"/>
          </w:tcPr>
          <w:p w:rsidR="00092B42" w:rsidRPr="00823BDF" w:rsidRDefault="00092B42" w:rsidP="00C3099E">
            <w:pPr>
              <w:jc w:val="center"/>
            </w:pPr>
            <w:r w:rsidRPr="00602F78">
              <w:rPr>
                <w:lang w:val="en-US"/>
              </w:rPr>
              <w:t>10</w:t>
            </w:r>
            <w:r w:rsidR="00823BDF">
              <w:t>4</w:t>
            </w:r>
          </w:p>
        </w:tc>
      </w:tr>
    </w:tbl>
    <w:p w:rsidR="00092B42" w:rsidRPr="00602F78" w:rsidRDefault="00092B42" w:rsidP="00092B42">
      <w:pPr>
        <w:jc w:val="center"/>
      </w:pPr>
    </w:p>
    <w:p w:rsidR="00DF001A" w:rsidRPr="002557E4" w:rsidRDefault="00DF001A" w:rsidP="00092B42">
      <w:pPr>
        <w:ind w:firstLine="709"/>
        <w:jc w:val="both"/>
        <w:rPr>
          <w:highlight w:val="yellow"/>
        </w:rPr>
      </w:pPr>
    </w:p>
    <w:p w:rsidR="00A66169" w:rsidRDefault="006E1715" w:rsidP="0008486F">
      <w:pPr>
        <w:ind w:firstLine="709"/>
        <w:jc w:val="both"/>
      </w:pPr>
      <w:r>
        <w:lastRenderedPageBreak/>
        <w:t>За январь – декабрь</w:t>
      </w:r>
      <w:r w:rsidR="00F95B90" w:rsidRPr="00A66169">
        <w:t xml:space="preserve"> 2022</w:t>
      </w:r>
      <w:r w:rsidR="0008486F" w:rsidRPr="00A66169">
        <w:t xml:space="preserve"> года в сельхозпредп</w:t>
      </w:r>
      <w:r w:rsidR="003C0906" w:rsidRPr="00A66169">
        <w:t>риятиях</w:t>
      </w:r>
      <w:r w:rsidR="00B93C25" w:rsidRPr="00A66169">
        <w:t xml:space="preserve"> округа</w:t>
      </w:r>
      <w:r w:rsidR="003C0906" w:rsidRPr="00A66169">
        <w:t xml:space="preserve">  </w:t>
      </w:r>
      <w:r w:rsidR="001177AB" w:rsidRPr="00A66169">
        <w:t xml:space="preserve">производство </w:t>
      </w:r>
      <w:r w:rsidR="003C0906" w:rsidRPr="00A66169">
        <w:t xml:space="preserve"> молока </w:t>
      </w:r>
      <w:r w:rsidR="001177AB" w:rsidRPr="00A66169">
        <w:t xml:space="preserve"> увеличилось</w:t>
      </w:r>
      <w:r w:rsidR="00CD12C0" w:rsidRPr="00A66169">
        <w:t xml:space="preserve"> и составило</w:t>
      </w:r>
      <w:r w:rsidR="00A66169">
        <w:t xml:space="preserve"> </w:t>
      </w:r>
      <w:r w:rsidR="006D2195" w:rsidRPr="00A66169">
        <w:t xml:space="preserve"> </w:t>
      </w:r>
      <w:r w:rsidR="00C3099E">
        <w:t>105</w:t>
      </w:r>
      <w:r w:rsidR="00F95B90" w:rsidRPr="00A66169">
        <w:t xml:space="preserve"> % к уровню 2021</w:t>
      </w:r>
      <w:r w:rsidR="0008486F" w:rsidRPr="00A66169">
        <w:t xml:space="preserve"> года. Надо</w:t>
      </w:r>
      <w:r w:rsidR="003C0906" w:rsidRPr="00A66169">
        <w:t xml:space="preserve">й </w:t>
      </w:r>
      <w:r w:rsidR="006D2195" w:rsidRPr="00A66169">
        <w:t xml:space="preserve">молока на корову </w:t>
      </w:r>
      <w:r w:rsidR="00FB4445" w:rsidRPr="00A66169">
        <w:t xml:space="preserve">составил </w:t>
      </w:r>
      <w:r>
        <w:t>8431</w:t>
      </w:r>
      <w:r w:rsidR="0008486F" w:rsidRPr="00A66169">
        <w:t xml:space="preserve"> кг, </w:t>
      </w:r>
      <w:r>
        <w:t>что на 302 кг или на 4</w:t>
      </w:r>
      <w:r w:rsidR="0008486F" w:rsidRPr="00A66169">
        <w:t xml:space="preserve"> </w:t>
      </w:r>
      <w:r>
        <w:t>% выше уровня 2021 года.  В двух</w:t>
      </w:r>
      <w:r w:rsidR="0008486F" w:rsidRPr="00A66169">
        <w:t xml:space="preserve"> хозяйствах надой превышает районный уровень.</w:t>
      </w:r>
    </w:p>
    <w:p w:rsidR="008B0333" w:rsidRPr="008B0333" w:rsidRDefault="008B0333" w:rsidP="008B0333">
      <w:pPr>
        <w:ind w:firstLine="709"/>
        <w:jc w:val="both"/>
      </w:pPr>
      <w:r w:rsidRPr="008B0333">
        <w:t xml:space="preserve">Получен валовой  сбор урожая 48,1 тысяч тонн, или 151% к уровню 2021 года. Урожайность зерновых в бункерном весе составила  25,7 </w:t>
      </w:r>
      <w:proofErr w:type="spellStart"/>
      <w:r w:rsidRPr="008B0333">
        <w:t>ц</w:t>
      </w:r>
      <w:proofErr w:type="spellEnd"/>
      <w:r w:rsidRPr="008B0333">
        <w:t>/га. Обмолочено 2363 гектара семенников многолетних трав. Засыпано семян в переходящий фонд 1865 тонн (100 % к плану), яровых зерновых 4135 тонн (100 % к плану).</w:t>
      </w:r>
      <w:r w:rsidRPr="008B0333">
        <w:rPr>
          <w:b/>
        </w:rPr>
        <w:t xml:space="preserve"> </w:t>
      </w:r>
      <w:r w:rsidRPr="008B0333">
        <w:t>Для сохранения  почвенного плодородия в 2022 году внесено 694 тонны д.</w:t>
      </w:r>
      <w:proofErr w:type="gramStart"/>
      <w:r w:rsidRPr="008B0333">
        <w:t>в</w:t>
      </w:r>
      <w:proofErr w:type="gramEnd"/>
      <w:r w:rsidRPr="008B0333">
        <w:t>.  минеральных   и 19 тыс. тонн органических  удобрений.</w:t>
      </w:r>
      <w:r w:rsidRPr="008B0333">
        <w:rPr>
          <w:b/>
        </w:rPr>
        <w:t xml:space="preserve">  </w:t>
      </w:r>
      <w:r w:rsidRPr="008B0333">
        <w:t>Два хозяйства занимается  агрохимической мелиорацией</w:t>
      </w:r>
      <w:r w:rsidR="00CA6B94">
        <w:t xml:space="preserve"> почв.</w:t>
      </w:r>
      <w:r w:rsidRPr="008B0333">
        <w:t xml:space="preserve">     </w:t>
      </w:r>
      <w:r w:rsidR="00CA6B94">
        <w:t xml:space="preserve"> </w:t>
      </w:r>
      <w:r w:rsidRPr="008B0333">
        <w:t xml:space="preserve">Хозяйствами заготовлено  сена 6219 тонн. Сенажа и </w:t>
      </w:r>
      <w:proofErr w:type="spellStart"/>
      <w:r w:rsidRPr="008B0333">
        <w:t>зерносенажа</w:t>
      </w:r>
      <w:proofErr w:type="spellEnd"/>
      <w:r w:rsidRPr="008B0333">
        <w:t xml:space="preserve">  заготовлено 2</w:t>
      </w:r>
      <w:r w:rsidR="002B6ADA">
        <w:t>7010  тонн. Заложено 86746 тонны</w:t>
      </w:r>
      <w:r w:rsidRPr="008B0333">
        <w:t xml:space="preserve"> силоса.  В среднем на одну условную голову скота  заготовлено  по 43,5 центнеров  грубых и сочных кормов.  Грубыми и сочными кормами  на предстоящую  зимовку животноводство обеспечено полностью.   Под урожай 2023 года  посеяно 6927 гектара  озимых культур. </w:t>
      </w:r>
      <w:r w:rsidRPr="008B0333">
        <w:rPr>
          <w:b/>
        </w:rPr>
        <w:t xml:space="preserve"> </w:t>
      </w:r>
      <w:r w:rsidRPr="008B0333">
        <w:t>Подготовлено  зяби</w:t>
      </w:r>
      <w:r w:rsidRPr="008B0333">
        <w:rPr>
          <w:b/>
        </w:rPr>
        <w:t xml:space="preserve"> </w:t>
      </w:r>
      <w:r w:rsidRPr="008B0333">
        <w:t xml:space="preserve">13067 га. </w:t>
      </w:r>
    </w:p>
    <w:p w:rsidR="008B0333" w:rsidRPr="008B0333" w:rsidRDefault="008B0333" w:rsidP="008B0333">
      <w:pPr>
        <w:ind w:firstLine="709"/>
        <w:jc w:val="both"/>
        <w:rPr>
          <w:b/>
        </w:rPr>
      </w:pPr>
      <w:r w:rsidRPr="008B0333">
        <w:t xml:space="preserve">     Для работы в растениеводстве  и животноводстве  хозяйствами приобреталась    новая  техника и оборудование. </w:t>
      </w:r>
    </w:p>
    <w:p w:rsidR="00E63C00" w:rsidRPr="00160B6F" w:rsidRDefault="0008486F" w:rsidP="00CA6B94">
      <w:pPr>
        <w:jc w:val="both"/>
      </w:pPr>
      <w:r w:rsidRPr="00A66169">
        <w:t xml:space="preserve"> </w:t>
      </w:r>
      <w:r w:rsidR="00DF001A" w:rsidRPr="002557E4">
        <w:rPr>
          <w:b/>
          <w:highlight w:val="yellow"/>
        </w:rPr>
        <w:t xml:space="preserve">   </w:t>
      </w:r>
    </w:p>
    <w:p w:rsidR="00521A65" w:rsidRPr="00324BC6" w:rsidRDefault="00521A65" w:rsidP="002D7449">
      <w:pPr>
        <w:pStyle w:val="7"/>
        <w:spacing w:before="0" w:after="0"/>
        <w:jc w:val="center"/>
        <w:rPr>
          <w:rFonts w:ascii="Times New Roman" w:hAnsi="Times New Roman"/>
          <w:b/>
          <w:bCs/>
          <w:i/>
        </w:rPr>
      </w:pPr>
      <w:r w:rsidRPr="00324BC6">
        <w:rPr>
          <w:rFonts w:ascii="Times New Roman" w:hAnsi="Times New Roman"/>
          <w:b/>
          <w:bCs/>
        </w:rPr>
        <w:t>Образование</w:t>
      </w:r>
    </w:p>
    <w:p w:rsidR="00521A65" w:rsidRPr="00BD3A94" w:rsidRDefault="00521A65" w:rsidP="00521A65">
      <w:pPr>
        <w:jc w:val="center"/>
        <w:rPr>
          <w:highlight w:val="yellow"/>
        </w:rPr>
      </w:pPr>
    </w:p>
    <w:p w:rsidR="00324BC6" w:rsidRPr="00324BC6" w:rsidRDefault="00521A65" w:rsidP="00324BC6">
      <w:pPr>
        <w:pStyle w:val="a8"/>
        <w:spacing w:before="0" w:beforeAutospacing="0" w:after="0" w:afterAutospacing="0"/>
        <w:ind w:firstLine="709"/>
        <w:jc w:val="both"/>
        <w:rPr>
          <w:b/>
        </w:rPr>
      </w:pPr>
      <w:proofErr w:type="gramStart"/>
      <w:r w:rsidRPr="00324BC6">
        <w:t xml:space="preserve">Сеть образовательных учреждений </w:t>
      </w:r>
      <w:proofErr w:type="spellStart"/>
      <w:r w:rsidRPr="00324BC6">
        <w:t>Пижанског</w:t>
      </w:r>
      <w:r w:rsidR="001A5DF6" w:rsidRPr="00324BC6">
        <w:t>о</w:t>
      </w:r>
      <w:proofErr w:type="spellEnd"/>
      <w:r w:rsidR="001A5DF6" w:rsidRPr="00324BC6">
        <w:t xml:space="preserve"> муниципального округа</w:t>
      </w:r>
      <w:r w:rsidR="005D459C" w:rsidRPr="00324BC6">
        <w:t xml:space="preserve"> </w:t>
      </w:r>
      <w:r w:rsidR="002B6ADA">
        <w:t>на 01.01.2023</w:t>
      </w:r>
      <w:r w:rsidR="004E2FF9" w:rsidRPr="00324BC6">
        <w:t xml:space="preserve"> года </w:t>
      </w:r>
      <w:r w:rsidR="00092B42" w:rsidRPr="00324BC6">
        <w:t>представлена</w:t>
      </w:r>
      <w:r w:rsidR="00324BC6">
        <w:t xml:space="preserve"> 14</w:t>
      </w:r>
      <w:r w:rsidRPr="00324BC6">
        <w:t xml:space="preserve"> образовательными учреждениями</w:t>
      </w:r>
      <w:r w:rsidR="00324BC6">
        <w:t>, из них 2 государственных</w:t>
      </w:r>
      <w:r w:rsidR="00324BC6" w:rsidRPr="00324BC6">
        <w:t xml:space="preserve"> (</w:t>
      </w:r>
      <w:r w:rsidR="00324BC6" w:rsidRPr="00324BC6">
        <w:rPr>
          <w:bCs/>
        </w:rPr>
        <w:t xml:space="preserve">Кировское областное государственное общеобразовательное бюджетное учреждение "Средняя школа с углубленным изучением отдельных предметов </w:t>
      </w:r>
      <w:proofErr w:type="spellStart"/>
      <w:r w:rsidR="00324BC6" w:rsidRPr="00324BC6">
        <w:rPr>
          <w:bCs/>
        </w:rPr>
        <w:t>пгт</w:t>
      </w:r>
      <w:proofErr w:type="spellEnd"/>
      <w:r w:rsidR="00324BC6" w:rsidRPr="00324BC6">
        <w:rPr>
          <w:bCs/>
        </w:rPr>
        <w:t xml:space="preserve"> Пижанка", </w:t>
      </w:r>
      <w:r w:rsidR="00324BC6" w:rsidRPr="00324BC6">
        <w:rPr>
          <w:rStyle w:val="aa"/>
          <w:b w:val="0"/>
        </w:rPr>
        <w:t xml:space="preserve">Кировское областное государственное общеобразовательное бюджетное учреждение "Школа-интернат для обучающихся с ограниченными возможностями здоровья </w:t>
      </w:r>
      <w:proofErr w:type="spellStart"/>
      <w:r w:rsidR="00324BC6" w:rsidRPr="00324BC6">
        <w:rPr>
          <w:rStyle w:val="aa"/>
          <w:b w:val="0"/>
        </w:rPr>
        <w:t>пгт</w:t>
      </w:r>
      <w:proofErr w:type="spellEnd"/>
      <w:r w:rsidR="00324BC6" w:rsidRPr="00324BC6">
        <w:rPr>
          <w:rStyle w:val="aa"/>
          <w:b w:val="0"/>
        </w:rPr>
        <w:t xml:space="preserve"> Пижанка Кировской области")</w:t>
      </w:r>
      <w:r w:rsidR="00324BC6" w:rsidRPr="00324BC6">
        <w:rPr>
          <w:b/>
        </w:rPr>
        <w:t xml:space="preserve"> </w:t>
      </w:r>
      <w:proofErr w:type="gramEnd"/>
    </w:p>
    <w:p w:rsidR="00324BC6" w:rsidRPr="00324BC6" w:rsidRDefault="00324BC6" w:rsidP="00324BC6">
      <w:pPr>
        <w:ind w:firstLine="709"/>
        <w:jc w:val="both"/>
      </w:pPr>
      <w:r w:rsidRPr="00324BC6">
        <w:t>- 2</w:t>
      </w:r>
      <w:r w:rsidR="00AC0430">
        <w:t xml:space="preserve"> детских сада с численностью 207</w:t>
      </w:r>
      <w:r w:rsidRPr="00324BC6">
        <w:t xml:space="preserve"> детей, в том числе один </w:t>
      </w:r>
      <w:proofErr w:type="spellStart"/>
      <w:r w:rsidRPr="00324BC6">
        <w:t>общеразвивающего</w:t>
      </w:r>
      <w:proofErr w:type="spellEnd"/>
      <w:r w:rsidRPr="00324BC6">
        <w:t xml:space="preserve"> вида с приоритетным осуществлением физического развития. В 7 общеобразовательных учреждениях функционирует 9 дошкольных </w:t>
      </w:r>
      <w:proofErr w:type="gramStart"/>
      <w:r w:rsidRPr="00324BC6">
        <w:t>гру</w:t>
      </w:r>
      <w:r w:rsidR="00AC0430">
        <w:t>пп полного дня</w:t>
      </w:r>
      <w:proofErr w:type="gramEnd"/>
      <w:r w:rsidR="00AC0430">
        <w:t xml:space="preserve"> с численностью 99</w:t>
      </w:r>
      <w:r w:rsidRPr="00324BC6">
        <w:t xml:space="preserve"> детей.</w:t>
      </w:r>
    </w:p>
    <w:p w:rsidR="00324BC6" w:rsidRPr="00324BC6" w:rsidRDefault="00324BC6" w:rsidP="00324BC6">
      <w:pPr>
        <w:ind w:firstLine="709"/>
        <w:jc w:val="both"/>
      </w:pPr>
      <w:r w:rsidRPr="00324BC6">
        <w:t xml:space="preserve">-   7  общеобразовательных  школ с общей численностью 319 учащихся, </w:t>
      </w:r>
    </w:p>
    <w:p w:rsidR="00324BC6" w:rsidRPr="00324BC6" w:rsidRDefault="00324BC6" w:rsidP="00324BC6">
      <w:pPr>
        <w:ind w:firstLine="709"/>
        <w:jc w:val="both"/>
      </w:pPr>
      <w:r w:rsidRPr="00324BC6">
        <w:t>- 3 учреждения дополнительного образования детей с общей численностью 1008 человек, в том числе 69 детей занимаются по программе персонифицированного финансирования дополнительного образования детей от 5 до 18 лет.</w:t>
      </w:r>
    </w:p>
    <w:p w:rsidR="00521A65" w:rsidRPr="00324BC6" w:rsidRDefault="00521A65" w:rsidP="00521A65">
      <w:pPr>
        <w:ind w:firstLine="709"/>
        <w:jc w:val="both"/>
      </w:pPr>
    </w:p>
    <w:p w:rsidR="00521A65" w:rsidRPr="00324BC6" w:rsidRDefault="00521A65" w:rsidP="00745E4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24BC6">
        <w:rPr>
          <w:rFonts w:ascii="Times New Roman" w:hAnsi="Times New Roman" w:cs="Times New Roman"/>
          <w:sz w:val="24"/>
          <w:szCs w:val="24"/>
        </w:rPr>
        <w:t>Культура</w:t>
      </w:r>
    </w:p>
    <w:p w:rsidR="00521A65" w:rsidRPr="00BD3A94" w:rsidRDefault="00521A65" w:rsidP="00521A65">
      <w:pPr>
        <w:rPr>
          <w:highlight w:val="yellow"/>
        </w:rPr>
      </w:pPr>
    </w:p>
    <w:p w:rsidR="00641AAE" w:rsidRPr="00324BC6" w:rsidRDefault="00BF2632" w:rsidP="00641AAE">
      <w:pPr>
        <w:ind w:firstLine="709"/>
      </w:pPr>
      <w:r w:rsidRPr="00324BC6">
        <w:t>Всего в округе функционирует 27</w:t>
      </w:r>
      <w:r w:rsidR="00641AAE" w:rsidRPr="00324BC6">
        <w:t xml:space="preserve">  учреждений культу</w:t>
      </w:r>
      <w:r w:rsidR="009D653C" w:rsidRPr="00324BC6">
        <w:t>ры: клубных – 12, библиотек –</w:t>
      </w:r>
      <w:r w:rsidRPr="00324BC6">
        <w:t xml:space="preserve"> 14</w:t>
      </w:r>
      <w:r w:rsidR="00641AAE" w:rsidRPr="00324BC6">
        <w:t xml:space="preserve"> и музей.</w:t>
      </w:r>
    </w:p>
    <w:p w:rsidR="00641AAE" w:rsidRPr="00BD3A94" w:rsidRDefault="00641AAE" w:rsidP="00641AAE">
      <w:pPr>
        <w:ind w:firstLine="709"/>
        <w:rPr>
          <w:highlight w:val="yellow"/>
        </w:rPr>
      </w:pPr>
    </w:p>
    <w:tbl>
      <w:tblPr>
        <w:tblStyle w:val="a3"/>
        <w:tblW w:w="0" w:type="auto"/>
        <w:tblLook w:val="04A0"/>
      </w:tblPr>
      <w:tblGrid>
        <w:gridCol w:w="5495"/>
        <w:gridCol w:w="1984"/>
        <w:gridCol w:w="1843"/>
      </w:tblGrid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AAE" w:rsidRPr="00BD3A94" w:rsidRDefault="00641AAE" w:rsidP="00635A9D">
            <w:pPr>
              <w:rPr>
                <w:highlight w:val="yellow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324BC6" w:rsidRDefault="00BF2632" w:rsidP="00635A9D">
            <w:pPr>
              <w:jc w:val="center"/>
              <w:rPr>
                <w:lang w:eastAsia="en-US"/>
              </w:rPr>
            </w:pPr>
            <w:r w:rsidRPr="00324BC6">
              <w:rPr>
                <w:lang w:eastAsia="en-US"/>
              </w:rPr>
              <w:t>2021</w:t>
            </w:r>
            <w:r w:rsidR="00641AAE" w:rsidRPr="00324BC6">
              <w:rPr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324BC6" w:rsidRDefault="00BF2632" w:rsidP="00635A9D">
            <w:pPr>
              <w:jc w:val="center"/>
              <w:rPr>
                <w:lang w:eastAsia="en-US"/>
              </w:rPr>
            </w:pPr>
            <w:r w:rsidRPr="00324BC6">
              <w:rPr>
                <w:lang w:eastAsia="en-US"/>
              </w:rPr>
              <w:t>2022</w:t>
            </w:r>
            <w:r w:rsidR="00641AAE" w:rsidRPr="00324BC6">
              <w:rPr>
                <w:lang w:eastAsia="en-US"/>
              </w:rPr>
              <w:t xml:space="preserve"> год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i/>
                <w:lang w:eastAsia="en-US"/>
              </w:rPr>
            </w:pPr>
            <w:r w:rsidRPr="00AB01D9">
              <w:rPr>
                <w:i/>
                <w:lang w:eastAsia="en-US"/>
              </w:rPr>
              <w:t>В клубных учреждениях проведено: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AAE" w:rsidRPr="00AB01D9" w:rsidRDefault="00641AAE" w:rsidP="00635A9D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AAE" w:rsidRPr="00AB01D9" w:rsidRDefault="00641AAE" w:rsidP="00635A9D">
            <w:pPr>
              <w:jc w:val="center"/>
              <w:rPr>
                <w:lang w:eastAsia="en-US"/>
              </w:rPr>
            </w:pP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>массовых мероприятий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AB01D9" w:rsidP="00635A9D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365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  обслужено населения (чел.)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AB01D9" w:rsidP="00856642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5114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48177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EC4DC5" w:rsidP="00635A9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 библиотеках округа</w:t>
            </w:r>
            <w:r w:rsidR="00641AAE" w:rsidRPr="00AB01D9">
              <w:rPr>
                <w:i/>
                <w:lang w:eastAsia="en-US"/>
              </w:rPr>
              <w:t xml:space="preserve">: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BD3A94" w:rsidRDefault="00641AAE" w:rsidP="00635A9D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BD3A94" w:rsidRDefault="00641AAE" w:rsidP="00635A9D">
            <w:pPr>
              <w:jc w:val="center"/>
              <w:rPr>
                <w:highlight w:val="yellow"/>
                <w:lang w:eastAsia="en-US"/>
              </w:rPr>
            </w:pP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количество пользователей (чел.)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10048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количество посещений (чел.)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AB01D9" w:rsidP="00635A9D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37312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AB01D9" w:rsidP="00635A9D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61773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книговыдача (чел.)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225000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225000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выполнено справок по системе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AB01D9" w:rsidP="00635A9D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6</w:t>
            </w:r>
            <w:r w:rsidR="00DD264C">
              <w:rPr>
                <w:lang w:eastAsia="en-US"/>
              </w:rPr>
              <w:t>935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9833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641AAE" w:rsidP="00635A9D">
            <w:pPr>
              <w:rPr>
                <w:lang w:eastAsia="en-US"/>
              </w:rPr>
            </w:pPr>
            <w:r w:rsidRPr="00AB01D9">
              <w:rPr>
                <w:lang w:eastAsia="en-US"/>
              </w:rPr>
              <w:t xml:space="preserve">проведено массовых мероприятий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AB01D9" w:rsidRDefault="00056C3E" w:rsidP="00635A9D">
            <w:pPr>
              <w:jc w:val="center"/>
              <w:rPr>
                <w:lang w:eastAsia="en-US"/>
              </w:rPr>
            </w:pPr>
            <w:r w:rsidRPr="00AB01D9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844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i/>
                <w:lang w:eastAsia="en-US"/>
              </w:rPr>
            </w:pPr>
            <w:r w:rsidRPr="00253C82">
              <w:rPr>
                <w:i/>
                <w:lang w:eastAsia="en-US"/>
              </w:rPr>
              <w:t>В краеведческом музее: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BD3A94" w:rsidRDefault="00641AAE" w:rsidP="00635A9D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BD3A94" w:rsidRDefault="00641AAE" w:rsidP="00635A9D">
            <w:pPr>
              <w:jc w:val="center"/>
              <w:rPr>
                <w:highlight w:val="yellow"/>
                <w:lang w:eastAsia="en-US"/>
              </w:rPr>
            </w:pP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 xml:space="preserve">экспонатов основного фонда (экз.)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3</w:t>
            </w:r>
            <w:r w:rsidR="00DD264C">
              <w:rPr>
                <w:lang w:eastAsia="en-US"/>
              </w:rPr>
              <w:t>510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3537</w:t>
            </w:r>
            <w:r w:rsidR="00641AAE" w:rsidRPr="00253C82">
              <w:rPr>
                <w:lang w:eastAsia="en-US"/>
              </w:rPr>
              <w:t xml:space="preserve"> 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lastRenderedPageBreak/>
              <w:t xml:space="preserve">экспонатов вспомогательного фонда (экз.)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78</w:t>
            </w:r>
            <w:r w:rsidR="00DD264C">
              <w:rPr>
                <w:lang w:eastAsia="en-US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78</w:t>
            </w:r>
            <w:r w:rsidR="00DD264C">
              <w:rPr>
                <w:lang w:eastAsia="en-US"/>
              </w:rPr>
              <w:t>61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>Проведено:</w:t>
            </w:r>
          </w:p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 xml:space="preserve">лекций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DD264C" w:rsidP="00DD26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 xml:space="preserve">экскурсий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253C82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9</w:t>
            </w:r>
            <w:r w:rsidRPr="00253C82"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056C3E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1</w:t>
            </w:r>
            <w:r w:rsidR="00253C82" w:rsidRPr="00253C82">
              <w:rPr>
                <w:lang w:eastAsia="en-US"/>
              </w:rPr>
              <w:t>2</w:t>
            </w:r>
            <w:r w:rsidR="00DD264C">
              <w:rPr>
                <w:lang w:eastAsia="en-US"/>
              </w:rPr>
              <w:t>8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>выставок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253C82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1</w:t>
            </w:r>
            <w:r w:rsidR="00DD264C">
              <w:rPr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641AAE" w:rsidRPr="00BD3A94" w:rsidTr="00635A9D"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641AAE" w:rsidP="00635A9D">
            <w:pPr>
              <w:rPr>
                <w:lang w:eastAsia="en-US"/>
              </w:rPr>
            </w:pPr>
            <w:r w:rsidRPr="00253C82">
              <w:rPr>
                <w:lang w:eastAsia="en-US"/>
              </w:rPr>
              <w:t xml:space="preserve">Обслужено посетителей (чел.)                                        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253C82" w:rsidP="00635A9D">
            <w:pPr>
              <w:jc w:val="center"/>
              <w:rPr>
                <w:lang w:eastAsia="en-US"/>
              </w:rPr>
            </w:pPr>
            <w:r w:rsidRPr="00253C82">
              <w:rPr>
                <w:lang w:eastAsia="en-US"/>
              </w:rPr>
              <w:t>3</w:t>
            </w:r>
            <w:r w:rsidR="00DD264C">
              <w:rPr>
                <w:lang w:eastAsia="en-US"/>
              </w:rPr>
              <w:t>550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AAE" w:rsidRPr="00253C82" w:rsidRDefault="00DD264C" w:rsidP="00635A9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5119</w:t>
            </w:r>
          </w:p>
        </w:tc>
      </w:tr>
    </w:tbl>
    <w:p w:rsidR="00AE3FA7" w:rsidRPr="00BD3A94" w:rsidRDefault="00641AAE" w:rsidP="00A25485">
      <w:pPr>
        <w:ind w:firstLine="709"/>
        <w:rPr>
          <w:b/>
          <w:highlight w:val="yellow"/>
        </w:rPr>
      </w:pPr>
      <w:r w:rsidRPr="00BD3A94">
        <w:rPr>
          <w:highlight w:val="yellow"/>
        </w:rPr>
        <w:t xml:space="preserve">  </w:t>
      </w:r>
    </w:p>
    <w:p w:rsidR="00380F60" w:rsidRPr="00BA677D" w:rsidRDefault="00380F60" w:rsidP="00521A65">
      <w:pPr>
        <w:ind w:firstLine="720"/>
        <w:jc w:val="both"/>
      </w:pPr>
      <w:r w:rsidRPr="00BA677D">
        <w:rPr>
          <w:b/>
        </w:rPr>
        <w:t>Ожидаемые итоги социально-экономиче</w:t>
      </w:r>
      <w:r w:rsidR="00270D61">
        <w:rPr>
          <w:b/>
        </w:rPr>
        <w:t xml:space="preserve">ского развития </w:t>
      </w:r>
      <w:proofErr w:type="spellStart"/>
      <w:r w:rsidR="00270D61">
        <w:rPr>
          <w:b/>
        </w:rPr>
        <w:t>Пижанского</w:t>
      </w:r>
      <w:proofErr w:type="spellEnd"/>
      <w:r w:rsidR="00270D61">
        <w:rPr>
          <w:b/>
        </w:rPr>
        <w:t xml:space="preserve"> муниципального округа</w:t>
      </w:r>
      <w:r w:rsidRPr="00BA677D">
        <w:rPr>
          <w:b/>
        </w:rPr>
        <w:t xml:space="preserve"> </w:t>
      </w:r>
      <w:r w:rsidR="00A8055B" w:rsidRPr="00BA677D">
        <w:rPr>
          <w:b/>
        </w:rPr>
        <w:t>н</w:t>
      </w:r>
      <w:r w:rsidRPr="00BA677D">
        <w:rPr>
          <w:b/>
        </w:rPr>
        <w:t xml:space="preserve">а </w:t>
      </w:r>
      <w:r w:rsidR="00DD4CC5" w:rsidRPr="00BA677D">
        <w:rPr>
          <w:b/>
        </w:rPr>
        <w:t>20</w:t>
      </w:r>
      <w:r w:rsidR="003279C1">
        <w:rPr>
          <w:b/>
        </w:rPr>
        <w:t>23</w:t>
      </w:r>
      <w:r w:rsidRPr="00BA677D">
        <w:rPr>
          <w:b/>
        </w:rPr>
        <w:t xml:space="preserve"> год</w:t>
      </w:r>
      <w:r w:rsidRPr="00BA677D">
        <w:t xml:space="preserve"> представлены в таблице:</w:t>
      </w:r>
    </w:p>
    <w:p w:rsidR="00380F60" w:rsidRPr="00BA677D" w:rsidRDefault="00380F60" w:rsidP="00521A65">
      <w:pPr>
        <w:jc w:val="both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"/>
        <w:gridCol w:w="5415"/>
        <w:gridCol w:w="1620"/>
        <w:gridCol w:w="2194"/>
      </w:tblGrid>
      <w:tr w:rsidR="00380F60" w:rsidRPr="00BA677D" w:rsidTr="007B3779">
        <w:trPr>
          <w:trHeight w:val="326"/>
        </w:trPr>
        <w:tc>
          <w:tcPr>
            <w:tcW w:w="5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0F60" w:rsidRPr="00BA677D" w:rsidRDefault="00380F60" w:rsidP="00521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677D">
              <w:rPr>
                <w:color w:val="000000"/>
              </w:rPr>
              <w:t>Показатель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0F60" w:rsidRPr="00BA677D" w:rsidRDefault="00380F60" w:rsidP="00521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677D">
              <w:rPr>
                <w:color w:val="000000"/>
              </w:rPr>
              <w:t>Единица измерения</w:t>
            </w:r>
          </w:p>
        </w:tc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1D71" w:rsidRPr="00BA677D" w:rsidRDefault="00671D71" w:rsidP="00671D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677D">
              <w:rPr>
                <w:color w:val="000000"/>
              </w:rPr>
              <w:t>Ожидаемые итоги                  20</w:t>
            </w:r>
            <w:r w:rsidR="0091194D">
              <w:rPr>
                <w:color w:val="000000"/>
              </w:rPr>
              <w:t>23</w:t>
            </w:r>
            <w:r w:rsidRPr="00BA677D">
              <w:rPr>
                <w:color w:val="000000"/>
              </w:rPr>
              <w:t xml:space="preserve"> года</w:t>
            </w:r>
          </w:p>
          <w:p w:rsidR="00410D60" w:rsidRPr="00BA677D" w:rsidRDefault="00671D71" w:rsidP="00671D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677D">
              <w:rPr>
                <w:color w:val="000000"/>
              </w:rPr>
              <w:t>(оценка)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54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Численность постоянного населения (среднегодовая)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человек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8</w:t>
            </w:r>
            <w:r w:rsidR="00240C5D">
              <w:t>146</w:t>
            </w:r>
          </w:p>
        </w:tc>
      </w:tr>
      <w:tr w:rsidR="009D7DD9" w:rsidRPr="00BA677D" w:rsidTr="00D7716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20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Численность детей в возрасте 0-17 лет включительно на конец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человек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3D4493">
              <w:t>5</w:t>
            </w:r>
            <w:r w:rsidR="00240C5D">
              <w:t>2</w:t>
            </w:r>
            <w:r w:rsidR="00330365">
              <w:t>6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84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Численность занятого населения в организациях, включая занятых по найму у индивидуальных предпринимателей и отдельных граждан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человек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3D4493" w:rsidP="00FC7DBF">
            <w:pPr>
              <w:jc w:val="center"/>
            </w:pPr>
            <w:r>
              <w:t>2</w:t>
            </w:r>
            <w:r w:rsidR="00240C5D">
              <w:t>289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513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r w:rsidRPr="00BA677D">
              <w:t>Среднемесячная номинальная начисленная заработная плата в расчете на одного работника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330365" w:rsidP="00FC7DBF">
            <w:pPr>
              <w:jc w:val="center"/>
            </w:pPr>
            <w:r>
              <w:t>3</w:t>
            </w:r>
            <w:r w:rsidR="00240C5D">
              <w:t>4167,36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327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Фонд оплаты труда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</w:t>
            </w:r>
            <w:proofErr w:type="gramStart"/>
            <w:r w:rsidRPr="00BA677D">
              <w:t>.р</w:t>
            </w:r>
            <w:proofErr w:type="gramEnd"/>
            <w:r w:rsidRPr="00BA677D">
              <w:t>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240C5D" w:rsidP="00FC7DBF">
            <w:pPr>
              <w:jc w:val="center"/>
            </w:pPr>
            <w:r>
              <w:t>938509,07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73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Отгружено товаров собственного производства, выполнено работ и услуг (по видам деятельности В</w:t>
            </w:r>
            <w:proofErr w:type="gramStart"/>
            <w:r w:rsidRPr="00BA677D">
              <w:t>,С</w:t>
            </w:r>
            <w:proofErr w:type="gramEnd"/>
            <w:r w:rsidRPr="00BA677D">
              <w:t>,D,E)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330365" w:rsidP="00FC7DBF">
            <w:pPr>
              <w:jc w:val="center"/>
            </w:pPr>
            <w:r>
              <w:t>5</w:t>
            </w:r>
            <w:r w:rsidR="00240C5D">
              <w:t>71291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529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Прибыль прибыльных предприятий, с учетом предприятий сельского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73377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49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r w:rsidRPr="00BA677D">
              <w:t>в том числе прибыль прибыльных сельскохозяйственных предприятий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65254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73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Инвестиции в основной капитал за счет всех источников финансирования (по местонахождению заказчика)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74335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53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r w:rsidRPr="00BA677D">
              <w:t>в том числе: по крупным и средним предприятиям и организациям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41367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336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Ввод в действие основных фондов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06221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52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Остаточная балансовая стоимость основных фондов на конец года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9D7DD9" w:rsidP="00FC7DBF">
            <w:pPr>
              <w:jc w:val="center"/>
            </w:pPr>
            <w:r w:rsidRPr="00BA677D">
              <w:t>1</w:t>
            </w:r>
            <w:r w:rsidR="00240C5D">
              <w:t>190851</w:t>
            </w:r>
          </w:p>
        </w:tc>
      </w:tr>
      <w:tr w:rsidR="009D7DD9" w:rsidRPr="00BA677D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325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Объем оборота розничной торговли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BA677D" w:rsidRDefault="00240C5D" w:rsidP="00FC7DBF">
            <w:pPr>
              <w:jc w:val="center"/>
            </w:pPr>
            <w:r>
              <w:t>1037759,51</w:t>
            </w:r>
          </w:p>
        </w:tc>
      </w:tr>
      <w:tr w:rsidR="009D7DD9" w:rsidRPr="00641AAE" w:rsidTr="007B3779">
        <w:tblPrEx>
          <w:tblCellMar>
            <w:left w:w="108" w:type="dxa"/>
            <w:right w:w="108" w:type="dxa"/>
          </w:tblCellMar>
        </w:tblPrEx>
        <w:trPr>
          <w:gridBefore w:val="1"/>
          <w:wBefore w:w="15" w:type="dxa"/>
          <w:trHeight w:val="336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both"/>
            </w:pPr>
            <w:r w:rsidRPr="00BA677D">
              <w:t>Объем платных услуг населению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DD9" w:rsidRPr="00BA677D" w:rsidRDefault="009D7DD9" w:rsidP="00521A65">
            <w:pPr>
              <w:jc w:val="center"/>
            </w:pPr>
            <w:r w:rsidRPr="00BA677D">
              <w:t>тыс. рублей</w:t>
            </w:r>
          </w:p>
        </w:tc>
        <w:tc>
          <w:tcPr>
            <w:tcW w:w="2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DD9" w:rsidRPr="00724E2C" w:rsidRDefault="00330365" w:rsidP="00FC7DBF">
            <w:pPr>
              <w:jc w:val="center"/>
            </w:pPr>
            <w:r>
              <w:t>9</w:t>
            </w:r>
            <w:r w:rsidR="00240C5D">
              <w:t>8152,48</w:t>
            </w:r>
          </w:p>
        </w:tc>
      </w:tr>
    </w:tbl>
    <w:p w:rsidR="0023600B" w:rsidRPr="00641AAE" w:rsidRDefault="0023600B" w:rsidP="00521A65">
      <w:pPr>
        <w:jc w:val="both"/>
      </w:pPr>
    </w:p>
    <w:sectPr w:rsidR="0023600B" w:rsidRPr="00641AAE" w:rsidSect="00D84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773C"/>
    <w:multiLevelType w:val="hybridMultilevel"/>
    <w:tmpl w:val="DF94EE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022213"/>
    <w:multiLevelType w:val="hybridMultilevel"/>
    <w:tmpl w:val="FF82C18A"/>
    <w:lvl w:ilvl="0" w:tplc="2A600E2C">
      <w:start w:val="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characterSpacingControl w:val="doNotCompress"/>
  <w:compat/>
  <w:rsids>
    <w:rsidRoot w:val="00C569D9"/>
    <w:rsid w:val="000069F3"/>
    <w:rsid w:val="00006A80"/>
    <w:rsid w:val="00006F2F"/>
    <w:rsid w:val="00011CF3"/>
    <w:rsid w:val="00014D07"/>
    <w:rsid w:val="00026E98"/>
    <w:rsid w:val="0003049B"/>
    <w:rsid w:val="0003122F"/>
    <w:rsid w:val="00034396"/>
    <w:rsid w:val="00034FE2"/>
    <w:rsid w:val="00035FBE"/>
    <w:rsid w:val="00037C80"/>
    <w:rsid w:val="00044A9C"/>
    <w:rsid w:val="00045B36"/>
    <w:rsid w:val="000462D6"/>
    <w:rsid w:val="000515D9"/>
    <w:rsid w:val="00051D68"/>
    <w:rsid w:val="00055163"/>
    <w:rsid w:val="00056C3E"/>
    <w:rsid w:val="00062749"/>
    <w:rsid w:val="00063988"/>
    <w:rsid w:val="00064315"/>
    <w:rsid w:val="00065C17"/>
    <w:rsid w:val="00067F3B"/>
    <w:rsid w:val="00070A8E"/>
    <w:rsid w:val="00071245"/>
    <w:rsid w:val="000728BA"/>
    <w:rsid w:val="00072BA8"/>
    <w:rsid w:val="00075EEA"/>
    <w:rsid w:val="00081214"/>
    <w:rsid w:val="00081A55"/>
    <w:rsid w:val="000839BC"/>
    <w:rsid w:val="00083F13"/>
    <w:rsid w:val="0008486F"/>
    <w:rsid w:val="0009071B"/>
    <w:rsid w:val="00092A74"/>
    <w:rsid w:val="00092B42"/>
    <w:rsid w:val="000A0178"/>
    <w:rsid w:val="000A1C97"/>
    <w:rsid w:val="000B657F"/>
    <w:rsid w:val="000B7199"/>
    <w:rsid w:val="000C1E5C"/>
    <w:rsid w:val="000C24BC"/>
    <w:rsid w:val="000C562D"/>
    <w:rsid w:val="000C607B"/>
    <w:rsid w:val="000D31AA"/>
    <w:rsid w:val="000D5F83"/>
    <w:rsid w:val="000D6E75"/>
    <w:rsid w:val="000D770C"/>
    <w:rsid w:val="000D7F00"/>
    <w:rsid w:val="000E0189"/>
    <w:rsid w:val="000E36B8"/>
    <w:rsid w:val="000E4660"/>
    <w:rsid w:val="000E58E5"/>
    <w:rsid w:val="000E6435"/>
    <w:rsid w:val="000E64FE"/>
    <w:rsid w:val="000F0967"/>
    <w:rsid w:val="000F0F60"/>
    <w:rsid w:val="000F10B3"/>
    <w:rsid w:val="000F1217"/>
    <w:rsid w:val="000F4850"/>
    <w:rsid w:val="000F7046"/>
    <w:rsid w:val="000F7C5F"/>
    <w:rsid w:val="001045B2"/>
    <w:rsid w:val="00110555"/>
    <w:rsid w:val="00112791"/>
    <w:rsid w:val="00116922"/>
    <w:rsid w:val="00117699"/>
    <w:rsid w:val="001177AB"/>
    <w:rsid w:val="001248B9"/>
    <w:rsid w:val="00124B88"/>
    <w:rsid w:val="00124FC3"/>
    <w:rsid w:val="00126277"/>
    <w:rsid w:val="00127C1E"/>
    <w:rsid w:val="00132D7B"/>
    <w:rsid w:val="00134121"/>
    <w:rsid w:val="00136583"/>
    <w:rsid w:val="001444B3"/>
    <w:rsid w:val="00147571"/>
    <w:rsid w:val="00151705"/>
    <w:rsid w:val="00151AE5"/>
    <w:rsid w:val="00152235"/>
    <w:rsid w:val="00157538"/>
    <w:rsid w:val="00157A68"/>
    <w:rsid w:val="00160B6F"/>
    <w:rsid w:val="00161A71"/>
    <w:rsid w:val="00177E8B"/>
    <w:rsid w:val="00191609"/>
    <w:rsid w:val="0019268F"/>
    <w:rsid w:val="00197E01"/>
    <w:rsid w:val="001A13B3"/>
    <w:rsid w:val="001A460C"/>
    <w:rsid w:val="001A5DF6"/>
    <w:rsid w:val="001A7348"/>
    <w:rsid w:val="001A7BDA"/>
    <w:rsid w:val="001B20DA"/>
    <w:rsid w:val="001B37CA"/>
    <w:rsid w:val="001B3C44"/>
    <w:rsid w:val="001B3FCB"/>
    <w:rsid w:val="001B5C8A"/>
    <w:rsid w:val="001C7473"/>
    <w:rsid w:val="001E0530"/>
    <w:rsid w:val="001E1088"/>
    <w:rsid w:val="001E1763"/>
    <w:rsid w:val="001E338F"/>
    <w:rsid w:val="001E3F1F"/>
    <w:rsid w:val="001E696B"/>
    <w:rsid w:val="001F58AB"/>
    <w:rsid w:val="00204360"/>
    <w:rsid w:val="002071F8"/>
    <w:rsid w:val="0020792A"/>
    <w:rsid w:val="00207E64"/>
    <w:rsid w:val="00211780"/>
    <w:rsid w:val="00211EED"/>
    <w:rsid w:val="002316F9"/>
    <w:rsid w:val="0023215A"/>
    <w:rsid w:val="00233032"/>
    <w:rsid w:val="00233C09"/>
    <w:rsid w:val="0023600B"/>
    <w:rsid w:val="002371D9"/>
    <w:rsid w:val="00237F90"/>
    <w:rsid w:val="00240C5D"/>
    <w:rsid w:val="00241010"/>
    <w:rsid w:val="00242DF2"/>
    <w:rsid w:val="002437AD"/>
    <w:rsid w:val="00245270"/>
    <w:rsid w:val="00246F13"/>
    <w:rsid w:val="00250F60"/>
    <w:rsid w:val="00253B6D"/>
    <w:rsid w:val="00253C82"/>
    <w:rsid w:val="00253E75"/>
    <w:rsid w:val="002557E4"/>
    <w:rsid w:val="00256E86"/>
    <w:rsid w:val="00257A6D"/>
    <w:rsid w:val="00260A88"/>
    <w:rsid w:val="00270D61"/>
    <w:rsid w:val="00272725"/>
    <w:rsid w:val="0027365A"/>
    <w:rsid w:val="00274D1F"/>
    <w:rsid w:val="002801E5"/>
    <w:rsid w:val="0028102B"/>
    <w:rsid w:val="0028695E"/>
    <w:rsid w:val="00287F9F"/>
    <w:rsid w:val="002B05FC"/>
    <w:rsid w:val="002B0EF7"/>
    <w:rsid w:val="002B15A1"/>
    <w:rsid w:val="002B3638"/>
    <w:rsid w:val="002B6ADA"/>
    <w:rsid w:val="002B75FE"/>
    <w:rsid w:val="002C023E"/>
    <w:rsid w:val="002C202C"/>
    <w:rsid w:val="002C4CC3"/>
    <w:rsid w:val="002C7F56"/>
    <w:rsid w:val="002D7449"/>
    <w:rsid w:val="002E5BC1"/>
    <w:rsid w:val="002F0AC3"/>
    <w:rsid w:val="002F208B"/>
    <w:rsid w:val="002F3BB4"/>
    <w:rsid w:val="002F4244"/>
    <w:rsid w:val="002F4CE2"/>
    <w:rsid w:val="002F7234"/>
    <w:rsid w:val="0030289B"/>
    <w:rsid w:val="00302CAA"/>
    <w:rsid w:val="003047AB"/>
    <w:rsid w:val="00304BE2"/>
    <w:rsid w:val="003075D2"/>
    <w:rsid w:val="00310AA9"/>
    <w:rsid w:val="00313FEE"/>
    <w:rsid w:val="003146D6"/>
    <w:rsid w:val="00317955"/>
    <w:rsid w:val="00323DB2"/>
    <w:rsid w:val="00324BC6"/>
    <w:rsid w:val="003279C1"/>
    <w:rsid w:val="00330365"/>
    <w:rsid w:val="00330EAB"/>
    <w:rsid w:val="00331AE0"/>
    <w:rsid w:val="00333BA0"/>
    <w:rsid w:val="00335596"/>
    <w:rsid w:val="0033579E"/>
    <w:rsid w:val="00335E3F"/>
    <w:rsid w:val="00344AE6"/>
    <w:rsid w:val="00344AE7"/>
    <w:rsid w:val="00350721"/>
    <w:rsid w:val="00360A25"/>
    <w:rsid w:val="00360D51"/>
    <w:rsid w:val="00361544"/>
    <w:rsid w:val="00363A27"/>
    <w:rsid w:val="0036474E"/>
    <w:rsid w:val="003733E5"/>
    <w:rsid w:val="0037387B"/>
    <w:rsid w:val="003743F6"/>
    <w:rsid w:val="00380F60"/>
    <w:rsid w:val="00382424"/>
    <w:rsid w:val="00382693"/>
    <w:rsid w:val="00386445"/>
    <w:rsid w:val="003872CB"/>
    <w:rsid w:val="003925FF"/>
    <w:rsid w:val="00392B1A"/>
    <w:rsid w:val="00393172"/>
    <w:rsid w:val="003940B2"/>
    <w:rsid w:val="003A0AC6"/>
    <w:rsid w:val="003A1747"/>
    <w:rsid w:val="003A40D5"/>
    <w:rsid w:val="003B3D8D"/>
    <w:rsid w:val="003B5F25"/>
    <w:rsid w:val="003B75AD"/>
    <w:rsid w:val="003C0906"/>
    <w:rsid w:val="003C2BB4"/>
    <w:rsid w:val="003C39EB"/>
    <w:rsid w:val="003C3A56"/>
    <w:rsid w:val="003C464E"/>
    <w:rsid w:val="003C4F0A"/>
    <w:rsid w:val="003C5941"/>
    <w:rsid w:val="003D037F"/>
    <w:rsid w:val="003D25D2"/>
    <w:rsid w:val="003D3560"/>
    <w:rsid w:val="003D4493"/>
    <w:rsid w:val="003D49E1"/>
    <w:rsid w:val="003E1B6E"/>
    <w:rsid w:val="003E3BD7"/>
    <w:rsid w:val="003E3E07"/>
    <w:rsid w:val="003E612E"/>
    <w:rsid w:val="003F1891"/>
    <w:rsid w:val="00400DD6"/>
    <w:rsid w:val="004051CF"/>
    <w:rsid w:val="00405CF4"/>
    <w:rsid w:val="00410D60"/>
    <w:rsid w:val="00412C68"/>
    <w:rsid w:val="00413CA5"/>
    <w:rsid w:val="00416762"/>
    <w:rsid w:val="0042362C"/>
    <w:rsid w:val="00427C90"/>
    <w:rsid w:val="00431313"/>
    <w:rsid w:val="00436809"/>
    <w:rsid w:val="00440AB6"/>
    <w:rsid w:val="00443818"/>
    <w:rsid w:val="00444A35"/>
    <w:rsid w:val="00445FFD"/>
    <w:rsid w:val="00446299"/>
    <w:rsid w:val="004471E4"/>
    <w:rsid w:val="00457827"/>
    <w:rsid w:val="00460580"/>
    <w:rsid w:val="00461F42"/>
    <w:rsid w:val="00467CBE"/>
    <w:rsid w:val="00472F72"/>
    <w:rsid w:val="00473046"/>
    <w:rsid w:val="00475460"/>
    <w:rsid w:val="0047575C"/>
    <w:rsid w:val="00481A86"/>
    <w:rsid w:val="00481D95"/>
    <w:rsid w:val="00483287"/>
    <w:rsid w:val="004926B1"/>
    <w:rsid w:val="004928C0"/>
    <w:rsid w:val="00493961"/>
    <w:rsid w:val="00493D8E"/>
    <w:rsid w:val="004A26D5"/>
    <w:rsid w:val="004A569E"/>
    <w:rsid w:val="004A7F04"/>
    <w:rsid w:val="004C2A00"/>
    <w:rsid w:val="004D28D0"/>
    <w:rsid w:val="004D3F14"/>
    <w:rsid w:val="004D7D3E"/>
    <w:rsid w:val="004E2481"/>
    <w:rsid w:val="004E2FF9"/>
    <w:rsid w:val="004F2EDF"/>
    <w:rsid w:val="004F2EFA"/>
    <w:rsid w:val="004F5F5F"/>
    <w:rsid w:val="004F6C74"/>
    <w:rsid w:val="00511FC2"/>
    <w:rsid w:val="00514254"/>
    <w:rsid w:val="0051444A"/>
    <w:rsid w:val="00521A65"/>
    <w:rsid w:val="005262F6"/>
    <w:rsid w:val="005269E6"/>
    <w:rsid w:val="00530AC0"/>
    <w:rsid w:val="005324A5"/>
    <w:rsid w:val="00533A84"/>
    <w:rsid w:val="0053772C"/>
    <w:rsid w:val="005437EB"/>
    <w:rsid w:val="00543EBB"/>
    <w:rsid w:val="0054628A"/>
    <w:rsid w:val="0054788B"/>
    <w:rsid w:val="005500A5"/>
    <w:rsid w:val="005525B0"/>
    <w:rsid w:val="005529B6"/>
    <w:rsid w:val="00555F34"/>
    <w:rsid w:val="005569F5"/>
    <w:rsid w:val="00565740"/>
    <w:rsid w:val="00566B5E"/>
    <w:rsid w:val="005707E9"/>
    <w:rsid w:val="005739E7"/>
    <w:rsid w:val="00583F35"/>
    <w:rsid w:val="005843D0"/>
    <w:rsid w:val="00585E6E"/>
    <w:rsid w:val="005873B4"/>
    <w:rsid w:val="00590FC8"/>
    <w:rsid w:val="005B47B7"/>
    <w:rsid w:val="005B7638"/>
    <w:rsid w:val="005C40FB"/>
    <w:rsid w:val="005C485A"/>
    <w:rsid w:val="005C4CCC"/>
    <w:rsid w:val="005D0364"/>
    <w:rsid w:val="005D459C"/>
    <w:rsid w:val="005E0136"/>
    <w:rsid w:val="005E0FA9"/>
    <w:rsid w:val="005E55E7"/>
    <w:rsid w:val="005F0D57"/>
    <w:rsid w:val="005F46B0"/>
    <w:rsid w:val="005F649E"/>
    <w:rsid w:val="005F6D93"/>
    <w:rsid w:val="0060041D"/>
    <w:rsid w:val="006006FD"/>
    <w:rsid w:val="00602F78"/>
    <w:rsid w:val="00606965"/>
    <w:rsid w:val="00606D93"/>
    <w:rsid w:val="00606DE2"/>
    <w:rsid w:val="00610042"/>
    <w:rsid w:val="00610F37"/>
    <w:rsid w:val="0061578C"/>
    <w:rsid w:val="00617C18"/>
    <w:rsid w:val="00620CC7"/>
    <w:rsid w:val="006217DE"/>
    <w:rsid w:val="0062544D"/>
    <w:rsid w:val="00630252"/>
    <w:rsid w:val="00630B3C"/>
    <w:rsid w:val="00632398"/>
    <w:rsid w:val="00633494"/>
    <w:rsid w:val="00634B9B"/>
    <w:rsid w:val="006379C3"/>
    <w:rsid w:val="00641AAE"/>
    <w:rsid w:val="00641ECE"/>
    <w:rsid w:val="0064219B"/>
    <w:rsid w:val="00650A0B"/>
    <w:rsid w:val="00651C45"/>
    <w:rsid w:val="006521FD"/>
    <w:rsid w:val="00657CEC"/>
    <w:rsid w:val="00660F68"/>
    <w:rsid w:val="00663C0D"/>
    <w:rsid w:val="00665F15"/>
    <w:rsid w:val="00671D71"/>
    <w:rsid w:val="0067377A"/>
    <w:rsid w:val="00675C35"/>
    <w:rsid w:val="00675F6B"/>
    <w:rsid w:val="0067657F"/>
    <w:rsid w:val="00681DDB"/>
    <w:rsid w:val="00682747"/>
    <w:rsid w:val="00683070"/>
    <w:rsid w:val="00685E2D"/>
    <w:rsid w:val="00690455"/>
    <w:rsid w:val="00697647"/>
    <w:rsid w:val="006A04A5"/>
    <w:rsid w:val="006A4DFA"/>
    <w:rsid w:val="006A5D59"/>
    <w:rsid w:val="006A76A8"/>
    <w:rsid w:val="006B288E"/>
    <w:rsid w:val="006C47B1"/>
    <w:rsid w:val="006C668F"/>
    <w:rsid w:val="006C6A72"/>
    <w:rsid w:val="006C74FE"/>
    <w:rsid w:val="006C77F5"/>
    <w:rsid w:val="006D08F4"/>
    <w:rsid w:val="006D2195"/>
    <w:rsid w:val="006D42E2"/>
    <w:rsid w:val="006D435C"/>
    <w:rsid w:val="006D7040"/>
    <w:rsid w:val="006D7CBB"/>
    <w:rsid w:val="006E042F"/>
    <w:rsid w:val="006E1715"/>
    <w:rsid w:val="006F374A"/>
    <w:rsid w:val="006F4570"/>
    <w:rsid w:val="006F55CD"/>
    <w:rsid w:val="006F7AA4"/>
    <w:rsid w:val="00705FB7"/>
    <w:rsid w:val="00706891"/>
    <w:rsid w:val="0071032A"/>
    <w:rsid w:val="00710E90"/>
    <w:rsid w:val="0071290E"/>
    <w:rsid w:val="007146B6"/>
    <w:rsid w:val="007173CA"/>
    <w:rsid w:val="00723E70"/>
    <w:rsid w:val="00724E2C"/>
    <w:rsid w:val="0072512A"/>
    <w:rsid w:val="0073566C"/>
    <w:rsid w:val="0073638D"/>
    <w:rsid w:val="00740FCD"/>
    <w:rsid w:val="007445EE"/>
    <w:rsid w:val="00745770"/>
    <w:rsid w:val="00745E4F"/>
    <w:rsid w:val="0074617D"/>
    <w:rsid w:val="007469C6"/>
    <w:rsid w:val="00747D80"/>
    <w:rsid w:val="00754B01"/>
    <w:rsid w:val="00757A31"/>
    <w:rsid w:val="00760EAC"/>
    <w:rsid w:val="00767C83"/>
    <w:rsid w:val="00772EF1"/>
    <w:rsid w:val="00775559"/>
    <w:rsid w:val="00776AB2"/>
    <w:rsid w:val="00781BC2"/>
    <w:rsid w:val="00787EB6"/>
    <w:rsid w:val="007900EC"/>
    <w:rsid w:val="00790788"/>
    <w:rsid w:val="00792A7F"/>
    <w:rsid w:val="00795830"/>
    <w:rsid w:val="007A2196"/>
    <w:rsid w:val="007A2B8E"/>
    <w:rsid w:val="007A4CF4"/>
    <w:rsid w:val="007A5700"/>
    <w:rsid w:val="007A5760"/>
    <w:rsid w:val="007A7133"/>
    <w:rsid w:val="007B3779"/>
    <w:rsid w:val="007B42A0"/>
    <w:rsid w:val="007B5CF0"/>
    <w:rsid w:val="007B6CD0"/>
    <w:rsid w:val="007C0164"/>
    <w:rsid w:val="007C3705"/>
    <w:rsid w:val="007C396A"/>
    <w:rsid w:val="007D3A13"/>
    <w:rsid w:val="007D6C4E"/>
    <w:rsid w:val="007E0745"/>
    <w:rsid w:val="007E35B9"/>
    <w:rsid w:val="007E3AC0"/>
    <w:rsid w:val="007E58D9"/>
    <w:rsid w:val="007F1021"/>
    <w:rsid w:val="007F1FB0"/>
    <w:rsid w:val="007F526E"/>
    <w:rsid w:val="00801F4D"/>
    <w:rsid w:val="00804225"/>
    <w:rsid w:val="00804DF4"/>
    <w:rsid w:val="00815433"/>
    <w:rsid w:val="00817780"/>
    <w:rsid w:val="008178F4"/>
    <w:rsid w:val="008231C3"/>
    <w:rsid w:val="0082331B"/>
    <w:rsid w:val="00823564"/>
    <w:rsid w:val="00823BDF"/>
    <w:rsid w:val="0082474B"/>
    <w:rsid w:val="008249F2"/>
    <w:rsid w:val="0082548B"/>
    <w:rsid w:val="00826135"/>
    <w:rsid w:val="0082789F"/>
    <w:rsid w:val="00833326"/>
    <w:rsid w:val="0083563F"/>
    <w:rsid w:val="00835640"/>
    <w:rsid w:val="008365D6"/>
    <w:rsid w:val="00841061"/>
    <w:rsid w:val="00841462"/>
    <w:rsid w:val="00841646"/>
    <w:rsid w:val="00847873"/>
    <w:rsid w:val="008508F4"/>
    <w:rsid w:val="00851B8C"/>
    <w:rsid w:val="00856642"/>
    <w:rsid w:val="00860E24"/>
    <w:rsid w:val="00860E65"/>
    <w:rsid w:val="00863E31"/>
    <w:rsid w:val="00865E21"/>
    <w:rsid w:val="00871DC0"/>
    <w:rsid w:val="00877135"/>
    <w:rsid w:val="0087793A"/>
    <w:rsid w:val="00880A0A"/>
    <w:rsid w:val="0088186D"/>
    <w:rsid w:val="0088258B"/>
    <w:rsid w:val="00886118"/>
    <w:rsid w:val="008865A8"/>
    <w:rsid w:val="00890448"/>
    <w:rsid w:val="00890488"/>
    <w:rsid w:val="008912AC"/>
    <w:rsid w:val="00894991"/>
    <w:rsid w:val="008969B7"/>
    <w:rsid w:val="0089738C"/>
    <w:rsid w:val="008A0761"/>
    <w:rsid w:val="008A7B56"/>
    <w:rsid w:val="008B0333"/>
    <w:rsid w:val="008B53BA"/>
    <w:rsid w:val="008B54E1"/>
    <w:rsid w:val="008C0703"/>
    <w:rsid w:val="008C1C34"/>
    <w:rsid w:val="008C38D1"/>
    <w:rsid w:val="008C3A81"/>
    <w:rsid w:val="008C3BF4"/>
    <w:rsid w:val="008C3C40"/>
    <w:rsid w:val="008C55BC"/>
    <w:rsid w:val="008C6177"/>
    <w:rsid w:val="008D07F3"/>
    <w:rsid w:val="008D66F7"/>
    <w:rsid w:val="008E0A23"/>
    <w:rsid w:val="008E25F0"/>
    <w:rsid w:val="008E353B"/>
    <w:rsid w:val="008F369A"/>
    <w:rsid w:val="00900BF4"/>
    <w:rsid w:val="00901410"/>
    <w:rsid w:val="009060B1"/>
    <w:rsid w:val="00906744"/>
    <w:rsid w:val="0091194D"/>
    <w:rsid w:val="00912CA2"/>
    <w:rsid w:val="0091428B"/>
    <w:rsid w:val="009146C5"/>
    <w:rsid w:val="00916F9C"/>
    <w:rsid w:val="0091716B"/>
    <w:rsid w:val="009171D8"/>
    <w:rsid w:val="009172D5"/>
    <w:rsid w:val="00922DD7"/>
    <w:rsid w:val="009247FF"/>
    <w:rsid w:val="009258CC"/>
    <w:rsid w:val="0092625C"/>
    <w:rsid w:val="009266DF"/>
    <w:rsid w:val="0092676D"/>
    <w:rsid w:val="00927FAD"/>
    <w:rsid w:val="00932471"/>
    <w:rsid w:val="009363E4"/>
    <w:rsid w:val="00946E53"/>
    <w:rsid w:val="009501DE"/>
    <w:rsid w:val="009515FD"/>
    <w:rsid w:val="00951CE8"/>
    <w:rsid w:val="009555F9"/>
    <w:rsid w:val="0096483D"/>
    <w:rsid w:val="00972A26"/>
    <w:rsid w:val="009730A9"/>
    <w:rsid w:val="009746C4"/>
    <w:rsid w:val="009756B7"/>
    <w:rsid w:val="00976BF1"/>
    <w:rsid w:val="009834C5"/>
    <w:rsid w:val="0098548D"/>
    <w:rsid w:val="00992CF3"/>
    <w:rsid w:val="00995BA8"/>
    <w:rsid w:val="009A04F1"/>
    <w:rsid w:val="009A30A4"/>
    <w:rsid w:val="009A6905"/>
    <w:rsid w:val="009B1413"/>
    <w:rsid w:val="009B6162"/>
    <w:rsid w:val="009B678D"/>
    <w:rsid w:val="009B704A"/>
    <w:rsid w:val="009B7187"/>
    <w:rsid w:val="009B7323"/>
    <w:rsid w:val="009C16DE"/>
    <w:rsid w:val="009C172B"/>
    <w:rsid w:val="009C3188"/>
    <w:rsid w:val="009C3B41"/>
    <w:rsid w:val="009C7085"/>
    <w:rsid w:val="009D6134"/>
    <w:rsid w:val="009D651C"/>
    <w:rsid w:val="009D653C"/>
    <w:rsid w:val="009D7DD9"/>
    <w:rsid w:val="009E5A50"/>
    <w:rsid w:val="009E6ADB"/>
    <w:rsid w:val="009F2D09"/>
    <w:rsid w:val="00A048B6"/>
    <w:rsid w:val="00A05E55"/>
    <w:rsid w:val="00A14DD7"/>
    <w:rsid w:val="00A219C7"/>
    <w:rsid w:val="00A22487"/>
    <w:rsid w:val="00A24AE3"/>
    <w:rsid w:val="00A25485"/>
    <w:rsid w:val="00A26EB8"/>
    <w:rsid w:val="00A2726C"/>
    <w:rsid w:val="00A27D05"/>
    <w:rsid w:val="00A307AC"/>
    <w:rsid w:val="00A30DBC"/>
    <w:rsid w:val="00A34711"/>
    <w:rsid w:val="00A34F44"/>
    <w:rsid w:val="00A35D50"/>
    <w:rsid w:val="00A3650C"/>
    <w:rsid w:val="00A37032"/>
    <w:rsid w:val="00A4315A"/>
    <w:rsid w:val="00A4562A"/>
    <w:rsid w:val="00A46762"/>
    <w:rsid w:val="00A47FB4"/>
    <w:rsid w:val="00A5162D"/>
    <w:rsid w:val="00A563AD"/>
    <w:rsid w:val="00A62586"/>
    <w:rsid w:val="00A641D0"/>
    <w:rsid w:val="00A6599F"/>
    <w:rsid w:val="00A66169"/>
    <w:rsid w:val="00A67E00"/>
    <w:rsid w:val="00A76F1F"/>
    <w:rsid w:val="00A8055B"/>
    <w:rsid w:val="00A8156F"/>
    <w:rsid w:val="00A828D9"/>
    <w:rsid w:val="00A91BAE"/>
    <w:rsid w:val="00A91BC8"/>
    <w:rsid w:val="00A923D0"/>
    <w:rsid w:val="00A9787F"/>
    <w:rsid w:val="00AA0551"/>
    <w:rsid w:val="00AA1C3A"/>
    <w:rsid w:val="00AA73A8"/>
    <w:rsid w:val="00AA74B6"/>
    <w:rsid w:val="00AB01D9"/>
    <w:rsid w:val="00AC0430"/>
    <w:rsid w:val="00AC26D4"/>
    <w:rsid w:val="00AC4FA2"/>
    <w:rsid w:val="00AD0CFF"/>
    <w:rsid w:val="00AD45DB"/>
    <w:rsid w:val="00AD79ED"/>
    <w:rsid w:val="00AE3FA7"/>
    <w:rsid w:val="00AE4142"/>
    <w:rsid w:val="00AE7252"/>
    <w:rsid w:val="00AF1397"/>
    <w:rsid w:val="00AF1545"/>
    <w:rsid w:val="00AF1A6C"/>
    <w:rsid w:val="00AF21D5"/>
    <w:rsid w:val="00B01573"/>
    <w:rsid w:val="00B01C91"/>
    <w:rsid w:val="00B0403E"/>
    <w:rsid w:val="00B044A2"/>
    <w:rsid w:val="00B0715E"/>
    <w:rsid w:val="00B1027F"/>
    <w:rsid w:val="00B104E7"/>
    <w:rsid w:val="00B110EC"/>
    <w:rsid w:val="00B11E6B"/>
    <w:rsid w:val="00B23069"/>
    <w:rsid w:val="00B2401D"/>
    <w:rsid w:val="00B24B12"/>
    <w:rsid w:val="00B27151"/>
    <w:rsid w:val="00B30700"/>
    <w:rsid w:val="00B32046"/>
    <w:rsid w:val="00B349F0"/>
    <w:rsid w:val="00B35FAF"/>
    <w:rsid w:val="00B407DC"/>
    <w:rsid w:val="00B44C1C"/>
    <w:rsid w:val="00B45B86"/>
    <w:rsid w:val="00B549E6"/>
    <w:rsid w:val="00B55131"/>
    <w:rsid w:val="00B576EA"/>
    <w:rsid w:val="00B672CA"/>
    <w:rsid w:val="00B71B49"/>
    <w:rsid w:val="00B7329B"/>
    <w:rsid w:val="00B73750"/>
    <w:rsid w:val="00B73B9D"/>
    <w:rsid w:val="00B76362"/>
    <w:rsid w:val="00B769DD"/>
    <w:rsid w:val="00B826CE"/>
    <w:rsid w:val="00B855B8"/>
    <w:rsid w:val="00B9305D"/>
    <w:rsid w:val="00B93C25"/>
    <w:rsid w:val="00B94228"/>
    <w:rsid w:val="00B94886"/>
    <w:rsid w:val="00B94D6A"/>
    <w:rsid w:val="00B956CC"/>
    <w:rsid w:val="00BA5A82"/>
    <w:rsid w:val="00BA677D"/>
    <w:rsid w:val="00BA6D95"/>
    <w:rsid w:val="00BB3E0F"/>
    <w:rsid w:val="00BB4121"/>
    <w:rsid w:val="00BB5A70"/>
    <w:rsid w:val="00BB6019"/>
    <w:rsid w:val="00BB7077"/>
    <w:rsid w:val="00BC100A"/>
    <w:rsid w:val="00BC56EE"/>
    <w:rsid w:val="00BC62EC"/>
    <w:rsid w:val="00BC64C5"/>
    <w:rsid w:val="00BD2724"/>
    <w:rsid w:val="00BD2849"/>
    <w:rsid w:val="00BD3271"/>
    <w:rsid w:val="00BD3A94"/>
    <w:rsid w:val="00BD6CE6"/>
    <w:rsid w:val="00BE0911"/>
    <w:rsid w:val="00BE3740"/>
    <w:rsid w:val="00BE58C3"/>
    <w:rsid w:val="00BE72A2"/>
    <w:rsid w:val="00BF0430"/>
    <w:rsid w:val="00BF2632"/>
    <w:rsid w:val="00BF2AD5"/>
    <w:rsid w:val="00BF342A"/>
    <w:rsid w:val="00BF5211"/>
    <w:rsid w:val="00C00EF0"/>
    <w:rsid w:val="00C16B04"/>
    <w:rsid w:val="00C1718B"/>
    <w:rsid w:val="00C201FE"/>
    <w:rsid w:val="00C23AE6"/>
    <w:rsid w:val="00C24DE0"/>
    <w:rsid w:val="00C26238"/>
    <w:rsid w:val="00C264F0"/>
    <w:rsid w:val="00C3099E"/>
    <w:rsid w:val="00C33452"/>
    <w:rsid w:val="00C3456B"/>
    <w:rsid w:val="00C45848"/>
    <w:rsid w:val="00C47794"/>
    <w:rsid w:val="00C50CDA"/>
    <w:rsid w:val="00C52E46"/>
    <w:rsid w:val="00C556BB"/>
    <w:rsid w:val="00C569D9"/>
    <w:rsid w:val="00C573BA"/>
    <w:rsid w:val="00C57D6C"/>
    <w:rsid w:val="00C621AA"/>
    <w:rsid w:val="00C6421B"/>
    <w:rsid w:val="00C66FA4"/>
    <w:rsid w:val="00C72FDC"/>
    <w:rsid w:val="00C74B90"/>
    <w:rsid w:val="00C77A26"/>
    <w:rsid w:val="00C862F5"/>
    <w:rsid w:val="00C86433"/>
    <w:rsid w:val="00C87AF0"/>
    <w:rsid w:val="00C948D2"/>
    <w:rsid w:val="00C9539E"/>
    <w:rsid w:val="00C959EF"/>
    <w:rsid w:val="00CA257B"/>
    <w:rsid w:val="00CA2968"/>
    <w:rsid w:val="00CA2AA7"/>
    <w:rsid w:val="00CA6B94"/>
    <w:rsid w:val="00CB1B09"/>
    <w:rsid w:val="00CB3666"/>
    <w:rsid w:val="00CC1294"/>
    <w:rsid w:val="00CC1DDE"/>
    <w:rsid w:val="00CC1FA2"/>
    <w:rsid w:val="00CC30B9"/>
    <w:rsid w:val="00CC66A7"/>
    <w:rsid w:val="00CC71C2"/>
    <w:rsid w:val="00CD0355"/>
    <w:rsid w:val="00CD12C0"/>
    <w:rsid w:val="00CD260B"/>
    <w:rsid w:val="00CD30E4"/>
    <w:rsid w:val="00CD5201"/>
    <w:rsid w:val="00CD539F"/>
    <w:rsid w:val="00CD7036"/>
    <w:rsid w:val="00CE24D9"/>
    <w:rsid w:val="00CE4B01"/>
    <w:rsid w:val="00CF3F80"/>
    <w:rsid w:val="00CF7E80"/>
    <w:rsid w:val="00D027AE"/>
    <w:rsid w:val="00D06317"/>
    <w:rsid w:val="00D065DF"/>
    <w:rsid w:val="00D1009A"/>
    <w:rsid w:val="00D107F3"/>
    <w:rsid w:val="00D10A02"/>
    <w:rsid w:val="00D14113"/>
    <w:rsid w:val="00D16601"/>
    <w:rsid w:val="00D31DBF"/>
    <w:rsid w:val="00D32D0B"/>
    <w:rsid w:val="00D36643"/>
    <w:rsid w:val="00D40D80"/>
    <w:rsid w:val="00D42C30"/>
    <w:rsid w:val="00D436C4"/>
    <w:rsid w:val="00D45064"/>
    <w:rsid w:val="00D47D40"/>
    <w:rsid w:val="00D521D1"/>
    <w:rsid w:val="00D572FF"/>
    <w:rsid w:val="00D57A19"/>
    <w:rsid w:val="00D6266E"/>
    <w:rsid w:val="00D636D3"/>
    <w:rsid w:val="00D63C6F"/>
    <w:rsid w:val="00D65963"/>
    <w:rsid w:val="00D66F8B"/>
    <w:rsid w:val="00D7061B"/>
    <w:rsid w:val="00D7629D"/>
    <w:rsid w:val="00D77169"/>
    <w:rsid w:val="00D8497E"/>
    <w:rsid w:val="00D87B1D"/>
    <w:rsid w:val="00D87D1B"/>
    <w:rsid w:val="00D93816"/>
    <w:rsid w:val="00D9671F"/>
    <w:rsid w:val="00D97555"/>
    <w:rsid w:val="00D97C2C"/>
    <w:rsid w:val="00DA1382"/>
    <w:rsid w:val="00DA7C70"/>
    <w:rsid w:val="00DB43D7"/>
    <w:rsid w:val="00DB4941"/>
    <w:rsid w:val="00DB6491"/>
    <w:rsid w:val="00DC0AB4"/>
    <w:rsid w:val="00DC4103"/>
    <w:rsid w:val="00DD1DF7"/>
    <w:rsid w:val="00DD264C"/>
    <w:rsid w:val="00DD476D"/>
    <w:rsid w:val="00DD4CC5"/>
    <w:rsid w:val="00DD6B50"/>
    <w:rsid w:val="00DD7903"/>
    <w:rsid w:val="00DE13F4"/>
    <w:rsid w:val="00DE5728"/>
    <w:rsid w:val="00DF001A"/>
    <w:rsid w:val="00DF3D99"/>
    <w:rsid w:val="00E00F4F"/>
    <w:rsid w:val="00E01AAA"/>
    <w:rsid w:val="00E07590"/>
    <w:rsid w:val="00E10AC5"/>
    <w:rsid w:val="00E10F46"/>
    <w:rsid w:val="00E12FA7"/>
    <w:rsid w:val="00E137E2"/>
    <w:rsid w:val="00E13A7A"/>
    <w:rsid w:val="00E14660"/>
    <w:rsid w:val="00E15FCA"/>
    <w:rsid w:val="00E25225"/>
    <w:rsid w:val="00E33F7E"/>
    <w:rsid w:val="00E34006"/>
    <w:rsid w:val="00E36E2F"/>
    <w:rsid w:val="00E41D2E"/>
    <w:rsid w:val="00E421BC"/>
    <w:rsid w:val="00E42AB2"/>
    <w:rsid w:val="00E448BA"/>
    <w:rsid w:val="00E53181"/>
    <w:rsid w:val="00E55C2C"/>
    <w:rsid w:val="00E60099"/>
    <w:rsid w:val="00E60742"/>
    <w:rsid w:val="00E63C00"/>
    <w:rsid w:val="00E668EB"/>
    <w:rsid w:val="00E7056B"/>
    <w:rsid w:val="00E74F97"/>
    <w:rsid w:val="00E75967"/>
    <w:rsid w:val="00E769BE"/>
    <w:rsid w:val="00E76DD6"/>
    <w:rsid w:val="00E84ED5"/>
    <w:rsid w:val="00E86D33"/>
    <w:rsid w:val="00E926E8"/>
    <w:rsid w:val="00E9286D"/>
    <w:rsid w:val="00E94D8E"/>
    <w:rsid w:val="00E94E35"/>
    <w:rsid w:val="00E96F3A"/>
    <w:rsid w:val="00E97BB2"/>
    <w:rsid w:val="00EA0253"/>
    <w:rsid w:val="00EA46B4"/>
    <w:rsid w:val="00EA67E0"/>
    <w:rsid w:val="00EB19BC"/>
    <w:rsid w:val="00EB74AE"/>
    <w:rsid w:val="00EB74CD"/>
    <w:rsid w:val="00EC0383"/>
    <w:rsid w:val="00EC209B"/>
    <w:rsid w:val="00EC264A"/>
    <w:rsid w:val="00EC3054"/>
    <w:rsid w:val="00EC4DC5"/>
    <w:rsid w:val="00EC4E89"/>
    <w:rsid w:val="00EC59E6"/>
    <w:rsid w:val="00EC6F72"/>
    <w:rsid w:val="00EC70C9"/>
    <w:rsid w:val="00ED2F62"/>
    <w:rsid w:val="00ED65DE"/>
    <w:rsid w:val="00EE149E"/>
    <w:rsid w:val="00EE1DA6"/>
    <w:rsid w:val="00EE39D0"/>
    <w:rsid w:val="00EE50F7"/>
    <w:rsid w:val="00EE6D69"/>
    <w:rsid w:val="00EE7E0E"/>
    <w:rsid w:val="00EE7F61"/>
    <w:rsid w:val="00EF1CC1"/>
    <w:rsid w:val="00EF2AB8"/>
    <w:rsid w:val="00EF479E"/>
    <w:rsid w:val="00F03026"/>
    <w:rsid w:val="00F04F12"/>
    <w:rsid w:val="00F060C2"/>
    <w:rsid w:val="00F069A2"/>
    <w:rsid w:val="00F0747E"/>
    <w:rsid w:val="00F116F7"/>
    <w:rsid w:val="00F11C77"/>
    <w:rsid w:val="00F124D9"/>
    <w:rsid w:val="00F12B95"/>
    <w:rsid w:val="00F14016"/>
    <w:rsid w:val="00F140A1"/>
    <w:rsid w:val="00F14975"/>
    <w:rsid w:val="00F2184F"/>
    <w:rsid w:val="00F2697D"/>
    <w:rsid w:val="00F26B4D"/>
    <w:rsid w:val="00F317B2"/>
    <w:rsid w:val="00F33636"/>
    <w:rsid w:val="00F33A23"/>
    <w:rsid w:val="00F35EF6"/>
    <w:rsid w:val="00F36633"/>
    <w:rsid w:val="00F3723E"/>
    <w:rsid w:val="00F45261"/>
    <w:rsid w:val="00F457EB"/>
    <w:rsid w:val="00F579BC"/>
    <w:rsid w:val="00F62F8C"/>
    <w:rsid w:val="00F64621"/>
    <w:rsid w:val="00F6781B"/>
    <w:rsid w:val="00F70142"/>
    <w:rsid w:val="00F7024B"/>
    <w:rsid w:val="00F7110F"/>
    <w:rsid w:val="00F71C7D"/>
    <w:rsid w:val="00F76622"/>
    <w:rsid w:val="00F77E08"/>
    <w:rsid w:val="00F8145F"/>
    <w:rsid w:val="00F83F02"/>
    <w:rsid w:val="00F846A5"/>
    <w:rsid w:val="00F84CD7"/>
    <w:rsid w:val="00F90465"/>
    <w:rsid w:val="00F91360"/>
    <w:rsid w:val="00F9270E"/>
    <w:rsid w:val="00F95B90"/>
    <w:rsid w:val="00F95FC6"/>
    <w:rsid w:val="00F971A1"/>
    <w:rsid w:val="00F97672"/>
    <w:rsid w:val="00F97E90"/>
    <w:rsid w:val="00FA2D6B"/>
    <w:rsid w:val="00FB06CA"/>
    <w:rsid w:val="00FB4445"/>
    <w:rsid w:val="00FB44E5"/>
    <w:rsid w:val="00FC4152"/>
    <w:rsid w:val="00FC4B29"/>
    <w:rsid w:val="00FC587D"/>
    <w:rsid w:val="00FC73CC"/>
    <w:rsid w:val="00FD12AD"/>
    <w:rsid w:val="00FD6F2C"/>
    <w:rsid w:val="00FD74B4"/>
    <w:rsid w:val="00FE08BD"/>
    <w:rsid w:val="00FE1C8F"/>
    <w:rsid w:val="00FE2038"/>
    <w:rsid w:val="00FE37DE"/>
    <w:rsid w:val="00FE58F5"/>
    <w:rsid w:val="00FE7FD4"/>
    <w:rsid w:val="00FF067C"/>
    <w:rsid w:val="00FF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0F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E3F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3F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E3F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90FC8"/>
    <w:pPr>
      <w:keepNext/>
      <w:ind w:firstLine="694"/>
      <w:jc w:val="center"/>
      <w:outlineLvl w:val="5"/>
    </w:pPr>
    <w:rPr>
      <w:rFonts w:ascii="Century" w:hAnsi="Century" w:cs="Arial"/>
      <w:b/>
      <w:bCs/>
      <w:sz w:val="28"/>
    </w:rPr>
  </w:style>
  <w:style w:type="paragraph" w:styleId="7">
    <w:name w:val="heading 7"/>
    <w:basedOn w:val="a"/>
    <w:next w:val="a"/>
    <w:link w:val="70"/>
    <w:unhideWhenUsed/>
    <w:qFormat/>
    <w:rsid w:val="009B616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590FC8"/>
    <w:pPr>
      <w:ind w:firstLine="900"/>
      <w:jc w:val="both"/>
    </w:pPr>
    <w:rPr>
      <w:rFonts w:ascii="Century" w:hAnsi="Century"/>
    </w:rPr>
  </w:style>
  <w:style w:type="paragraph" w:styleId="a6">
    <w:name w:val="Block Text"/>
    <w:basedOn w:val="a"/>
    <w:rsid w:val="00590FC8"/>
    <w:pPr>
      <w:shd w:val="clear" w:color="auto" w:fill="FFFFFF"/>
      <w:ind w:left="19" w:right="-75" w:firstLine="1270"/>
      <w:jc w:val="both"/>
    </w:pPr>
    <w:rPr>
      <w:color w:val="000000"/>
      <w:sz w:val="28"/>
    </w:rPr>
  </w:style>
  <w:style w:type="paragraph" w:customStyle="1" w:styleId="a7">
    <w:name w:val="Знак Знак Знак Знак"/>
    <w:basedOn w:val="a"/>
    <w:rsid w:val="00590F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590F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072BA8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Основной текст с отступом Знак"/>
    <w:basedOn w:val="a0"/>
    <w:link w:val="a4"/>
    <w:rsid w:val="00072BA8"/>
    <w:rPr>
      <w:rFonts w:ascii="Century" w:hAnsi="Century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B616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AE3F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E3FA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E3FA7"/>
    <w:rPr>
      <w:b/>
      <w:bCs/>
      <w:sz w:val="28"/>
      <w:szCs w:val="28"/>
    </w:rPr>
  </w:style>
  <w:style w:type="paragraph" w:customStyle="1" w:styleId="a9">
    <w:name w:val="Знак Знак Знак Знак"/>
    <w:basedOn w:val="a"/>
    <w:rsid w:val="00AE3F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324B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9A9A-8ADD-40AD-AD6E-9FCBF6D7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Района</Company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</dc:creator>
  <cp:lastModifiedBy>DozhdikovaNM</cp:lastModifiedBy>
  <cp:revision>4</cp:revision>
  <cp:lastPrinted>2023-04-05T13:09:00Z</cp:lastPrinted>
  <dcterms:created xsi:type="dcterms:W3CDTF">2023-04-05T13:05:00Z</dcterms:created>
  <dcterms:modified xsi:type="dcterms:W3CDTF">2023-04-05T13:09:00Z</dcterms:modified>
</cp:coreProperties>
</file>